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AA073">
      <w:pPr>
        <w:pStyle w:val="39"/>
        <w:framePr/>
        <w:rPr>
          <w:rFonts w:hint="eastAsia" w:ascii="黑体" w:hAnsi="黑体" w:eastAsia="黑体" w:cs="黑体"/>
          <w:lang w:val="en-US" w:eastAsia="zh-CN"/>
        </w:rPr>
      </w:pPr>
      <w:bookmarkStart w:id="0" w:name="SectionMark0"/>
      <w:r>
        <w:t>ICS</w:t>
      </w:r>
      <w:r>
        <w:rPr>
          <w:rFonts w:hAnsi="黑体"/>
        </w:rPr>
        <w:t> </w:t>
      </w:r>
      <w:r>
        <w:rPr>
          <w:rFonts w:hint="eastAsia" w:ascii="黑体" w:hAnsi="黑体" w:eastAsia="黑体" w:cs="黑体"/>
        </w:rPr>
        <w:t>65.</w:t>
      </w:r>
      <w:r>
        <w:rPr>
          <w:rFonts w:hint="eastAsia" w:ascii="黑体" w:hAnsi="黑体" w:eastAsia="黑体" w:cs="黑体"/>
          <w:lang w:val="en-US" w:eastAsia="zh-CN"/>
        </w:rPr>
        <w:t>100</w:t>
      </w:r>
    </w:p>
    <w:p w14:paraId="129A27AF">
      <w:pPr>
        <w:pStyle w:val="39"/>
        <w:framePr/>
      </w:pPr>
      <w:bookmarkStart w:id="1" w:name="WXFLH"/>
      <w:r>
        <w:rPr>
          <w:rFonts w:hint="eastAsia"/>
        </w:rPr>
        <w:t>C</w:t>
      </w:r>
      <w:r>
        <w:t>CS</w:t>
      </w:r>
      <w:r>
        <w:rPr>
          <w:rFonts w:hAnsi="黑体"/>
        </w:rPr>
        <w:t> </w:t>
      </w:r>
      <w:bookmarkEnd w:id="1"/>
      <w:r>
        <w:rPr>
          <w:rFonts w:hint="eastAsia" w:ascii="黑体" w:hAnsi="黑体" w:eastAsia="黑体" w:cs="黑体"/>
        </w:rPr>
        <w:t xml:space="preserve">B </w:t>
      </w:r>
      <w:r>
        <w:rPr>
          <w:rFonts w:hint="eastAsia" w:ascii="黑体" w:hAnsi="黑体" w:eastAsia="黑体" w:cs="黑体"/>
          <w:lang w:val="en-US" w:eastAsia="zh-CN"/>
        </w:rPr>
        <w:t>17</w:t>
      </w:r>
      <w:r>
        <w:t xml:space="preserve"> </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42375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3EF11820">
            <w:pPr>
              <w:pStyle w:val="39"/>
              <w:framePr/>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7"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K4v7NUAAAAHAQAADwAAAAAAAAABACAAAAAi&#10;AAAAZHJzL2Rvd25yZXYueG1sUEsBAhQAFAAAAAgAh07iQO82kYINAgAAIAQAAA4AAAAAAAAAAQAg&#10;AAAAJAEAAGRycy9lMm9Eb2MueG1sUEsFBgAAAAAGAAYAWQEAAKM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60DB71F8">
      <w:pPr>
        <w:jc w:val="left"/>
        <w:rPr>
          <w:rFonts w:eastAsia="仿宋_GB2312"/>
          <w:sz w:val="28"/>
          <w:szCs w:val="28"/>
        </w:rPr>
      </w:pPr>
    </w:p>
    <w:p w14:paraId="5DB02C0E">
      <w:pPr>
        <w:pStyle w:val="30"/>
        <w:framePr/>
      </w:pPr>
      <w:r>
        <w:fldChar w:fldCharType="begin">
          <w:ffData>
            <w:name w:val="c1"/>
            <w:enabled/>
            <w:calcOnExit w:val="0"/>
            <w:textInput>
              <w:maxLength w:val="2"/>
            </w:textInput>
          </w:ffData>
        </w:fldChar>
      </w:r>
      <w:bookmarkStart w:id="3" w:name="c1"/>
      <w:r>
        <w:instrText xml:space="preserve"> FORMTEXT </w:instrText>
      </w:r>
      <w:r>
        <w:fldChar w:fldCharType="separate"/>
      </w:r>
      <w:r>
        <w:rPr>
          <w:rFonts w:hint="eastAsia"/>
        </w:rPr>
        <w:t>NY</w:t>
      </w:r>
      <w:r>
        <w:fldChar w:fldCharType="end"/>
      </w:r>
      <w:bookmarkEnd w:id="3"/>
    </w:p>
    <w:p w14:paraId="4A9703AE">
      <w:pPr>
        <w:pStyle w:val="65"/>
        <w:framePr w:wrap="around"/>
        <w:rPr>
          <w:rFonts w:hint="eastAsia" w:hAnsi="黑体"/>
        </w:rPr>
      </w:pPr>
      <w:r>
        <w:rPr>
          <w:rFonts w:ascii="Times New Roman"/>
        </w:rPr>
        <w:fldChar w:fldCharType="begin">
          <w:ffData>
            <w:name w:val="StdNo0"/>
            <w:enabled/>
            <w:calcOnExit w:val="0"/>
            <w:textInput>
              <w:default w:val="XX"/>
              <w:maxLength w:val="2"/>
            </w:textInput>
          </w:ffData>
        </w:fldChar>
      </w:r>
      <w:bookmarkStart w:id="4" w:name="StdNo0"/>
      <w:r>
        <w:rPr>
          <w:rFonts w:ascii="Times New Roman"/>
        </w:rPr>
        <w:instrText xml:space="preserve"> FORMTEXT </w:instrText>
      </w:r>
      <w:r>
        <w:rPr>
          <w:rFonts w:ascii="Times New Roman"/>
        </w:rPr>
        <w:fldChar w:fldCharType="separate"/>
      </w:r>
      <w:r>
        <w:rPr>
          <w:rFonts w:hint="eastAsia" w:ascii="Times New Roman"/>
        </w:rPr>
        <w:t>NY</w:t>
      </w:r>
      <w:r>
        <w:rPr>
          <w:rFonts w:ascii="Times New Roman"/>
        </w:rPr>
        <w:fldChar w:fldCharType="end"/>
      </w:r>
      <w:bookmarkEnd w:id="4"/>
      <w:r>
        <w:rPr>
          <w:rFonts w:ascii="Times New Roman"/>
        </w:rPr>
        <w:t>/T1464</w:t>
      </w:r>
      <w:r>
        <w:rPr>
          <w:b/>
        </w:rPr>
        <w:t>.</w:t>
      </w:r>
      <w:r>
        <w:rPr>
          <w:rFonts w:hint="eastAsia" w:ascii="Times New Roman"/>
        </w:rPr>
        <w:t>105</w:t>
      </w:r>
      <w:r>
        <w:rPr>
          <w:rFonts w:hAnsi="黑体"/>
        </w:rPr>
        <w:t>—</w:t>
      </w:r>
      <w:r>
        <w:rPr>
          <w:rFonts w:hAnsi="黑体"/>
        </w:rPr>
        <w:fldChar w:fldCharType="begin">
          <w:ffData>
            <w:name w:val="StdNo2"/>
            <w:enabled/>
            <w:calcOnExit w:val="0"/>
            <w:textInput>
              <w:default w:val="202X"/>
              <w:maxLength w:val="4"/>
            </w:textInput>
          </w:ffData>
        </w:fldChar>
      </w:r>
      <w:bookmarkStart w:id="5" w:name="StdNo2"/>
      <w:r>
        <w:rPr>
          <w:rFonts w:hAnsi="黑体"/>
        </w:rPr>
        <w:instrText xml:space="preserve"> FORMTEXT </w:instrText>
      </w:r>
      <w:r>
        <w:rPr>
          <w:rFonts w:hAnsi="黑体"/>
        </w:rPr>
        <w:fldChar w:fldCharType="separate"/>
      </w:r>
      <w:r>
        <w:rPr>
          <w:rFonts w:hAnsi="黑体"/>
        </w:rPr>
        <w:t>202X</w:t>
      </w:r>
      <w:r>
        <w:rPr>
          <w:rFonts w:hAnsi="黑体"/>
        </w:rPr>
        <w:fldChar w:fldCharType="end"/>
      </w:r>
      <w:bookmarkEnd w:id="5"/>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ABEB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E7507F3">
            <w:pPr>
              <w:pStyle w:val="66"/>
              <w:framePr w:wrap="around"/>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6"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mDyy9YAAAAIAQAADwAAAAAAAAABACAAAAAiAAAA&#10;ZHJzL2Rvd25yZXYueG1sUEsBAhQAFAAAAAgAh07iQID0rnsJAgAAIAQAAA4AAAAAAAAAAQAgAAAA&#10;JQEAAGRycy9lMm9Eb2MueG1sUEsFBgAAAAAGAAYAWQEAAKAFA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50B2D665">
      <w:pPr>
        <w:pStyle w:val="65"/>
        <w:framePr w:wrap="around"/>
        <w:rPr>
          <w:rFonts w:hint="eastAsia" w:hAnsi="黑体"/>
        </w:rPr>
      </w:pPr>
    </w:p>
    <w:p w14:paraId="77D7C265">
      <w:pPr>
        <w:pStyle w:val="65"/>
        <w:framePr w:wrap="around"/>
        <w:rPr>
          <w:rFonts w:hint="eastAsia" w:hAnsi="黑体"/>
        </w:rPr>
      </w:pPr>
    </w:p>
    <w:p w14:paraId="2B499780">
      <w:pPr>
        <w:jc w:val="left"/>
        <w:rPr>
          <w:rFonts w:eastAsia="仿宋_GB2312"/>
          <w:sz w:val="28"/>
          <w:szCs w:val="28"/>
        </w:rPr>
      </w:pPr>
      <w:r>
        <w:rPr>
          <w:rFonts w:eastAsia="仿宋_GB2312"/>
          <w:sz w:val="28"/>
          <w:szCs w:val="28"/>
        </w:rPr>
        <mc:AlternateContent>
          <mc:Choice Requires="wps">
            <w:drawing>
              <wp:anchor distT="0" distB="0" distL="114300" distR="114300" simplePos="0" relativeHeight="251662336" behindDoc="0" locked="0" layoutInCell="1" allowOverlap="1">
                <wp:simplePos x="0" y="0"/>
                <wp:positionH relativeFrom="column">
                  <wp:posOffset>-1270</wp:posOffset>
                </wp:positionH>
                <wp:positionV relativeFrom="paragraph">
                  <wp:posOffset>1235075</wp:posOffset>
                </wp:positionV>
                <wp:extent cx="6120130" cy="0"/>
                <wp:effectExtent l="13335" t="13970" r="10160" b="5080"/>
                <wp:wrapNone/>
                <wp:docPr id="4" name="Line 27"/>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27" o:spid="_x0000_s1026" o:spt="20" style="position:absolute;left:0pt;margin-left:-0.1pt;margin-top:97.25pt;height:0pt;width:481.9pt;z-index:251662336;mso-width-relative:page;mso-height-relative:page;" filled="f" stroked="t" coordsize="21600,21600" o:gfxdata="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C1CLdYAAAAJAQAADwAAAAAAAAABACAAAAAiAAAAZHJzL2Rv&#10;d25yZXYueG1sUEsBAhQAFAAAAAgAh07iQCQ5EonKAQAAoAMAAA4AAAAAAAAAAQAgAAAAJQEAAGRy&#10;cy9lMm9Eb2MueG1sUEsFBgAAAAAGAAYAWQEAAGEFAAAAAA==&#10;">
                <v:fill on="f" focussize="0,0"/>
                <v:stroke color="#000000" joinstyle="round"/>
                <v:imagedata o:title=""/>
                <o:lock v:ext="edit" aspectratio="f"/>
              </v:line>
            </w:pict>
          </mc:Fallback>
        </mc:AlternateContent>
      </w:r>
    </w:p>
    <w:p w14:paraId="4145D840">
      <w:pPr>
        <w:tabs>
          <w:tab w:val="left" w:pos="6225"/>
        </w:tabs>
        <w:ind w:firstLine="360" w:firstLineChars="200"/>
        <w:jc w:val="left"/>
        <w:rPr>
          <w:rFonts w:eastAsia="仿宋_GB2312"/>
          <w:sz w:val="18"/>
          <w:szCs w:val="18"/>
        </w:rPr>
      </w:pPr>
    </w:p>
    <w:bookmarkEnd w:id="0"/>
    <w:p w14:paraId="2F85E56B">
      <w:pPr>
        <w:pStyle w:val="40"/>
        <w:rPr>
          <w:rFonts w:ascii="Times New Roman" w:cs="Times New Roman"/>
          <w:snapToGrid w:val="0"/>
          <w:lang w:val="en-GB"/>
        </w:rPr>
      </w:pPr>
    </w:p>
    <w:p w14:paraId="3EBF0F5D">
      <w:pPr>
        <w:pStyle w:val="40"/>
        <w:rPr>
          <w:rFonts w:ascii="Times New Roman" w:cs="Times New Roman"/>
          <w:snapToGrid w:val="0"/>
          <w:lang w:val="en-GB"/>
        </w:rPr>
      </w:pPr>
    </w:p>
    <w:p w14:paraId="42BD464A">
      <w:pPr>
        <w:pStyle w:val="40"/>
        <w:rPr>
          <w:rFonts w:ascii="Times New Roman" w:cs="Times New Roman"/>
          <w:snapToGrid w:val="0"/>
          <w:lang w:val="en-GB"/>
        </w:rPr>
      </w:pPr>
    </w:p>
    <w:p w14:paraId="723E671C">
      <w:pPr>
        <w:pStyle w:val="40"/>
        <w:rPr>
          <w:rFonts w:ascii="Times New Roman" w:cs="Times New Roman"/>
          <w:snapToGrid w:val="0"/>
          <w:lang w:val="en-GB"/>
        </w:rPr>
      </w:pPr>
    </w:p>
    <w:p w14:paraId="5F06A265">
      <w:pPr>
        <w:pStyle w:val="40"/>
      </w:pPr>
      <w:bookmarkStart w:id="7" w:name="_Toc84241069"/>
      <w:r>
        <w:fldChar w:fldCharType="begin">
          <w:ffData>
            <w:name w:val="fm"/>
            <w:enabled/>
            <w:calcOnExit w:val="0"/>
            <w:textInput/>
          </w:ffData>
        </w:fldChar>
      </w:r>
      <w:bookmarkStart w:id="8" w:name="fm"/>
      <w:r>
        <w:instrText xml:space="preserve"> FORMTEXT </w:instrText>
      </w:r>
      <w:r>
        <w:fldChar w:fldCharType="separate"/>
      </w:r>
      <w:r>
        <w:rPr>
          <w:rFonts w:hint="eastAsia"/>
        </w:rPr>
        <w:t>中华人民共和国农业农村部</w:t>
      </w:r>
      <w:r>
        <w:fldChar w:fldCharType="end"/>
      </w:r>
      <w:bookmarkEnd w:id="8"/>
      <w:r>
        <w:rPr>
          <w:rFonts w:hAnsi="黑体"/>
        </w:rPr>
        <w:t>   </w:t>
      </w:r>
      <w:r>
        <w:rPr>
          <w:rStyle w:val="31"/>
          <w:rFonts w:hint="eastAsia"/>
        </w:rPr>
        <w:t>发布</w:t>
      </w:r>
    </w:p>
    <w:p w14:paraId="1C90D509">
      <w:pPr>
        <w:pStyle w:val="67"/>
        <w:framePr w:wrap="around"/>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9"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2" name="Line 3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3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lh2s81gAAAAsBAAAPAAAAAAAAAAEAIAAAACIAAABkcnMvZG93&#10;bnJldi54bWxQSwECFAAUAAAACACHTuJAfVWCfckBAACgAwAADgAAAAAAAAABACAAAAAlAQAAZHJz&#10;L2Uyb0RvYy54bWxQSwUGAAAAAAYABgBZAQAAYAUAAAAA&#10;">
                <v:fill on="f" focussize="0,0"/>
                <v:stroke color="#000000" joinstyle="round"/>
                <v:imagedata o:title=""/>
                <o:lock v:ext="edit" aspectratio="f"/>
                <w10:anchorlock/>
              </v:line>
            </w:pict>
          </mc:Fallback>
        </mc:AlternateContent>
      </w:r>
    </w:p>
    <w:p w14:paraId="7B4973A9">
      <w:pPr>
        <w:pStyle w:val="68"/>
        <w:framePr w:wrap="around"/>
      </w:pPr>
      <w:r>
        <w:rPr>
          <w:rFonts w:ascii="黑体"/>
        </w:rPr>
        <w:fldChar w:fldCharType="begin">
          <w:ffData>
            <w:name w:val="SY"/>
            <w:enabled/>
            <w:calcOnExit w:val="0"/>
            <w:textInput>
              <w:default w:val="XXXX"/>
              <w:maxLength w:val="4"/>
            </w:textInput>
          </w:ffData>
        </w:fldChar>
      </w:r>
      <w:bookmarkStart w:id="10"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1"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2"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4BE71FD7">
      <w:pPr>
        <w:framePr w:w="7938" w:h="1134" w:hRule="exact" w:hSpace="125" w:vSpace="181" w:wrap="around" w:vAnchor="page" w:hAnchor="page" w:x="2246" w:y="14955" w:anchorLock="1"/>
        <w:widowControl/>
        <w:spacing w:line="0" w:lineRule="atLeast"/>
        <w:jc w:val="center"/>
        <w:rPr>
          <w:rFonts w:ascii="黑体" w:eastAsia="黑体"/>
          <w:spacing w:val="20"/>
          <w:w w:val="135"/>
          <w:kern w:val="0"/>
          <w:sz w:val="28"/>
          <w:szCs w:val="20"/>
        </w:rPr>
      </w:pPr>
      <w:r>
        <w:rPr>
          <w:rFonts w:ascii="黑体" w:eastAsia="黑体"/>
          <w:spacing w:val="20"/>
          <w:w w:val="135"/>
          <w:kern w:val="0"/>
          <w:sz w:val="28"/>
          <w:szCs w:val="20"/>
        </w:rPr>
        <w:fldChar w:fldCharType="begin">
          <w:ffData>
            <w:name w:val="fm"/>
            <w:enabled/>
            <w:calcOnExit w:val="0"/>
            <w:textInput/>
          </w:ffData>
        </w:fldChar>
      </w:r>
      <w:r>
        <w:rPr>
          <w:rFonts w:ascii="黑体" w:eastAsia="黑体"/>
          <w:spacing w:val="20"/>
          <w:w w:val="135"/>
          <w:kern w:val="0"/>
          <w:sz w:val="28"/>
          <w:szCs w:val="20"/>
        </w:rPr>
        <w:instrText xml:space="preserve"> FORMTEXT </w:instrText>
      </w:r>
      <w:r>
        <w:rPr>
          <w:rFonts w:ascii="黑体" w:eastAsia="黑体"/>
          <w:spacing w:val="20"/>
          <w:w w:val="135"/>
          <w:kern w:val="0"/>
          <w:sz w:val="28"/>
          <w:szCs w:val="20"/>
        </w:rPr>
        <w:fldChar w:fldCharType="separate"/>
      </w:r>
      <w:r>
        <w:rPr>
          <w:rFonts w:hint="eastAsia" w:ascii="黑体" w:eastAsia="黑体"/>
          <w:spacing w:val="20"/>
          <w:w w:val="135"/>
          <w:kern w:val="0"/>
          <w:sz w:val="28"/>
          <w:szCs w:val="20"/>
        </w:rPr>
        <w:t>中华人民共和国农业农村部</w:t>
      </w:r>
      <w:r>
        <w:rPr>
          <w:rFonts w:ascii="黑体" w:eastAsia="黑体"/>
          <w:spacing w:val="20"/>
          <w:w w:val="135"/>
          <w:kern w:val="0"/>
          <w:sz w:val="28"/>
          <w:szCs w:val="20"/>
        </w:rPr>
        <w:fldChar w:fldCharType="end"/>
      </w:r>
      <w:r>
        <w:rPr>
          <w:rFonts w:ascii="黑体" w:hAnsi="黑体" w:eastAsia="黑体"/>
          <w:spacing w:val="20"/>
          <w:w w:val="135"/>
          <w:kern w:val="0"/>
          <w:sz w:val="28"/>
          <w:szCs w:val="20"/>
        </w:rPr>
        <w:t>   </w:t>
      </w:r>
      <w:r>
        <w:rPr>
          <w:rFonts w:hint="eastAsia" w:ascii="黑体" w:eastAsia="黑体"/>
          <w:spacing w:val="85"/>
          <w:kern w:val="0"/>
          <w:position w:val="3"/>
          <w:sz w:val="28"/>
          <w:szCs w:val="28"/>
        </w:rPr>
        <w:t>发布</w:t>
      </w:r>
    </w:p>
    <w:p w14:paraId="7CBD6846">
      <w:pPr>
        <w:pStyle w:val="29"/>
        <w:sectPr>
          <w:headerReference r:id="rId5" w:type="first"/>
          <w:footerReference r:id="rId8"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425" w:num="1"/>
          <w:titlePg/>
          <w:docGrid w:type="lines" w:linePitch="312" w:charSpace="0"/>
        </w:sectPr>
      </w:pPr>
      <w:r>
        <mc:AlternateContent>
          <mc:Choice Requires="wps">
            <w:drawing>
              <wp:anchor distT="0" distB="0" distL="114300" distR="114300" simplePos="0" relativeHeight="251664384" behindDoc="0" locked="1" layoutInCell="1" allowOverlap="1">
                <wp:simplePos x="0" y="0"/>
                <wp:positionH relativeFrom="margin">
                  <wp:align>left</wp:align>
                </wp:positionH>
                <wp:positionV relativeFrom="page">
                  <wp:posOffset>9284970</wp:posOffset>
                </wp:positionV>
                <wp:extent cx="6120130" cy="0"/>
                <wp:effectExtent l="0" t="0" r="33020" b="190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top:731.1pt;height:0pt;width:481.9pt;mso-position-horizontal:left;mso-position-horizontal-relative:margin;mso-position-vertical-relative:page;z-index:251664384;mso-width-relative:page;mso-height-relative:page;" filled="f" stroked="t" coordsize="21600,21600" o:gfxdata="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dcjBtUAAAAKAQAA&#10;DwAAAAAAAAABACAAAAAiAAAAZHJzL2Rvd25yZXYueG1sUEsBAhQAFAAAAAgAh07iQONrv87jAQAA&#10;qgMAAA4AAAAAAAAAAQAgAAAAJAEAAGRycy9lMm9Eb2MueG1sUEsFBgAAAAAGAAYAWQEAAHkFAAAA&#10;AA==&#10;">
                <v:fill on="f" focussize="0,0"/>
                <v:stroke color="#000000" joinstyle="round"/>
                <v:imagedata o:title=""/>
                <o:lock v:ext="edit" aspectratio="f"/>
                <w10:anchorlock/>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8889365</wp:posOffset>
                </wp:positionV>
                <wp:extent cx="6121400" cy="0"/>
                <wp:effectExtent l="0" t="0" r="31750" b="19050"/>
                <wp:wrapNone/>
                <wp:docPr id="10" name="Line 2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20" o:spid="_x0000_s1026" o:spt="20" style="position:absolute;left:0pt;margin-left:0pt;margin-top:699.95pt;height:0pt;width:482pt;z-index:251659264;mso-width-relative:page;mso-height-relative:page;" filled="f" stroked="t" coordsize="21600,21600" o:gfxdata="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W/Hj9UAAAAKAQAADwAAAAAAAAABACAAAAAiAAAAZHJzL2Rvd25y&#10;ZXYueG1sUEsBAhQAFAAAAAgAh07iQGG4YlPIAQAAogMAAA4AAAAAAAAAAQAgAAAAJAEAAGRycy9l&#10;Mm9Eb2MueG1sUEsFBgAAAAAGAAYAWQEAAF4FA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2272665</wp:posOffset>
                </wp:positionV>
                <wp:extent cx="6121400" cy="0"/>
                <wp:effectExtent l="0" t="0" r="31750" b="19050"/>
                <wp:wrapNone/>
                <wp:docPr id="9" name="Line 19"/>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9" o:spid="_x0000_s1026" o:spt="20" style="position:absolute;left:0pt;margin-left:0pt;margin-top:178.95pt;height:0pt;width:482pt;z-index:251659264;mso-width-relative:page;mso-height-relative:page;" filled="f" stroked="t" coordsize="21600,21600" o:gfxdata="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vbB1rWAAAACAEAAA8AAAAAAAAAAQAgAAAAIgAAAGRycy9kb3du&#10;cmV2LnhtbFBLAQIUABQAAAAIAIdO4kAkPb5ZyAEAAKEDAAAOAAAAAAAAAAEAIAAAACUBAABkcnMv&#10;ZTJvRG9jLnhtbFBLBQYAAAAABgAGAFkBAABfBQAAAAA=&#10;">
                <v:fill on="f" focussize="0,0"/>
                <v:stroke weight="1pt" color="#FFFFFF" joinstyle="round"/>
                <v:imagedata o:title=""/>
                <o:lock v:ext="edit" aspectratio="f"/>
              </v:line>
            </w:pict>
          </mc:Fallback>
        </mc:AlternateContent>
      </w:r>
      <w:bookmarkStart w:id="28" w:name="_GoBack"/>
      <w:bookmarkEnd w:id="28"/>
      <w:r>
        <mc:AlternateContent>
          <mc:Choice Requires="wps">
            <w:drawing>
              <wp:anchor distT="0" distB="0" distL="114300" distR="114300" simplePos="0" relativeHeight="251659264" behindDoc="0" locked="1" layoutInCell="1" allowOverlap="1">
                <wp:simplePos x="0" y="0"/>
                <wp:positionH relativeFrom="margin">
                  <wp:posOffset>-113030</wp:posOffset>
                </wp:positionH>
                <wp:positionV relativeFrom="margin">
                  <wp:posOffset>3367405</wp:posOffset>
                </wp:positionV>
                <wp:extent cx="5975350" cy="4997450"/>
                <wp:effectExtent l="0" t="0" r="6350" b="0"/>
                <wp:wrapNone/>
                <wp:docPr id="5" name="fmFrame4"/>
                <wp:cNvGraphicFramePr/>
                <a:graphic xmlns:a="http://schemas.openxmlformats.org/drawingml/2006/main">
                  <a:graphicData uri="http://schemas.microsoft.com/office/word/2010/wordprocessingShape">
                    <wps:wsp>
                      <wps:cNvSpPr txBox="1">
                        <a:spLocks noChangeArrowheads="1"/>
                      </wps:cNvSpPr>
                      <wps:spPr bwMode="auto">
                        <a:xfrm>
                          <a:off x="0" y="0"/>
                          <a:ext cx="5975350" cy="4997450"/>
                        </a:xfrm>
                        <a:prstGeom prst="rect">
                          <a:avLst/>
                        </a:prstGeom>
                        <a:solidFill>
                          <a:srgbClr val="FFFFFF"/>
                        </a:solidFill>
                        <a:ln>
                          <a:noFill/>
                        </a:ln>
                      </wps:spPr>
                      <wps:txbx>
                        <w:txbxContent>
                          <w:p w14:paraId="7ABD3116">
                            <w:pPr>
                              <w:pStyle w:val="48"/>
                              <w:rPr>
                                <w:snapToGrid w:val="0"/>
                                <w:lang w:val="en-GB"/>
                              </w:rPr>
                            </w:pPr>
                            <w:r>
                              <w:rPr>
                                <w:rFonts w:hint="eastAsia"/>
                              </w:rPr>
                              <w:br w:type="textWrapping"/>
                            </w:r>
                            <w:r>
                              <w:rPr>
                                <w:rFonts w:hint="eastAsia"/>
                                <w:snapToGrid w:val="0"/>
                                <w:lang w:val="en-GB"/>
                              </w:rPr>
                              <w:t>农药田间药效试验准则</w:t>
                            </w:r>
                          </w:p>
                          <w:p w14:paraId="471105F0">
                            <w:pPr>
                              <w:pStyle w:val="48"/>
                            </w:pPr>
                            <w:r>
                              <w:rPr>
                                <w:rFonts w:hint="eastAsia"/>
                                <w:snapToGrid w:val="0"/>
                                <w:lang w:val="en-GB"/>
                              </w:rPr>
                              <w:t>第105部分：</w:t>
                            </w:r>
                            <w:r>
                              <w:rPr>
                                <w:rFonts w:hint="eastAsia"/>
                              </w:rPr>
                              <w:t>杀菌剂防治大豆炭疽病</w:t>
                            </w:r>
                          </w:p>
                          <w:p w14:paraId="731DA638">
                            <w:pPr>
                              <w:pStyle w:val="48"/>
                            </w:pPr>
                          </w:p>
                          <w:p w14:paraId="537EB0F9">
                            <w:pPr>
                              <w:jc w:val="center"/>
                              <w:rPr>
                                <w:kern w:val="0"/>
                                <w:sz w:val="28"/>
                                <w:szCs w:val="20"/>
                              </w:rPr>
                            </w:pPr>
                            <w:r>
                              <w:rPr>
                                <w:rFonts w:hint="eastAsia"/>
                                <w:kern w:val="0"/>
                                <w:sz w:val="28"/>
                                <w:szCs w:val="20"/>
                              </w:rPr>
                              <w:t>Pesti</w:t>
                            </w:r>
                            <w:r>
                              <w:rPr>
                                <w:kern w:val="0"/>
                                <w:sz w:val="28"/>
                                <w:szCs w:val="20"/>
                              </w:rPr>
                              <w:t>cide</w:t>
                            </w:r>
                            <w:r>
                              <w:rPr>
                                <w:rFonts w:hint="eastAsia"/>
                                <w:kern w:val="0"/>
                                <w:sz w:val="28"/>
                                <w:szCs w:val="20"/>
                              </w:rPr>
                              <w:t xml:space="preserve"> </w:t>
                            </w:r>
                            <w:r>
                              <w:rPr>
                                <w:kern w:val="0"/>
                                <w:sz w:val="28"/>
                                <w:szCs w:val="20"/>
                              </w:rPr>
                              <w:t xml:space="preserve">guidelines for the field efficacy trials— </w:t>
                            </w:r>
                          </w:p>
                          <w:p w14:paraId="3E581966">
                            <w:pPr>
                              <w:jc w:val="center"/>
                              <w:rPr>
                                <w:kern w:val="0"/>
                                <w:sz w:val="28"/>
                                <w:szCs w:val="20"/>
                              </w:rPr>
                            </w:pPr>
                            <w:r>
                              <w:rPr>
                                <w:rFonts w:hint="eastAsia"/>
                                <w:kern w:val="0"/>
                                <w:sz w:val="28"/>
                                <w:szCs w:val="20"/>
                              </w:rPr>
                              <w:t>P</w:t>
                            </w:r>
                            <w:r>
                              <w:rPr>
                                <w:kern w:val="0"/>
                                <w:sz w:val="28"/>
                                <w:szCs w:val="20"/>
                              </w:rPr>
                              <w:t>art</w:t>
                            </w:r>
                            <w:r>
                              <w:rPr>
                                <w:kern w:val="0"/>
                                <w:sz w:val="28"/>
                                <w:szCs w:val="28"/>
                              </w:rPr>
                              <w:t xml:space="preserve"> </w:t>
                            </w:r>
                            <w:r>
                              <w:rPr>
                                <w:rFonts w:hint="eastAsia"/>
                                <w:sz w:val="28"/>
                                <w:szCs w:val="28"/>
                              </w:rPr>
                              <w:t>105</w:t>
                            </w:r>
                            <w:r>
                              <w:rPr>
                                <w:kern w:val="0"/>
                                <w:sz w:val="28"/>
                                <w:szCs w:val="20"/>
                              </w:rPr>
                              <w:t>: Fungicides against anthracnose of soybeans</w:t>
                            </w:r>
                          </w:p>
                          <w:p w14:paraId="54D328D5">
                            <w:pPr>
                              <w:pStyle w:val="2"/>
                              <w:rPr>
                                <w:b w:val="0"/>
                                <w:bCs w:val="0"/>
                                <w:sz w:val="28"/>
                                <w:szCs w:val="20"/>
                              </w:rPr>
                            </w:pPr>
                          </w:p>
                          <w:p w14:paraId="43D257DC">
                            <w:pPr>
                              <w:pStyle w:val="36"/>
                            </w:pPr>
                            <w:r>
                              <w:rPr>
                                <w:rFonts w:hint="eastAsia"/>
                              </w:rPr>
                              <w:t>（征求意见稿）</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6"/>
                            </w:tblGrid>
                            <w:tr w14:paraId="4ED67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ED5C2EF">
                                  <w:pPr>
                                    <w:spacing w:before="180" w:after="160" w:line="180" w:lineRule="exact"/>
                                    <w:jc w:val="center"/>
                                    <w:textAlignment w:val="center"/>
                                    <w:rPr>
                                      <w:rFonts w:ascii="宋体"/>
                                      <w:b/>
                                      <w:bCs/>
                                      <w:kern w:val="0"/>
                                      <w:sz w:val="24"/>
                                      <w:szCs w:val="36"/>
                                    </w:rPr>
                                  </w:pPr>
                                  <w:r>
                                    <w:rPr>
                                      <w:rFonts w:hint="eastAsia" w:ascii="宋体"/>
                                      <w:b/>
                                      <w:bCs/>
                                      <w:kern w:val="0"/>
                                      <w:sz w:val="24"/>
                                      <w:szCs w:val="36"/>
                                    </w:rPr>
                                    <w:t>在提交反馈意见时，请将您知道的相关专利连同支持性文件一并附上。</w:t>
                                  </w:r>
                                </w:p>
                                <w:p w14:paraId="02372F0E">
                                  <w:pPr>
                                    <w:spacing w:before="440" w:after="160"/>
                                    <w:jc w:val="center"/>
                                    <w:textAlignment w:val="center"/>
                                    <w:rPr>
                                      <w:rFonts w:ascii="宋体"/>
                                      <w:b/>
                                      <w:bCs/>
                                      <w:kern w:val="0"/>
                                      <w:sz w:val="24"/>
                                      <w:szCs w:val="36"/>
                                    </w:rPr>
                                  </w:pPr>
                                  <w:r>
                                    <w:rPr>
                                      <w:rFonts w:hint="eastAsia" w:ascii="宋体"/>
                                      <w:b/>
                                      <w:bCs/>
                                      <w:kern w:val="0"/>
                                      <w:sz w:val="24"/>
                                      <w:szCs w:val="36"/>
                                    </w:rPr>
                                    <w:t>（注：征求意见时必须保留这句话。）</w:t>
                                  </w:r>
                                </w:p>
                                <w:p w14:paraId="19A44ACE">
                                  <w:pPr>
                                    <w:spacing w:before="440" w:after="160"/>
                                    <w:jc w:val="center"/>
                                    <w:textAlignment w:val="center"/>
                                    <w:rPr>
                                      <w:rFonts w:ascii="宋体"/>
                                      <w:kern w:val="0"/>
                                      <w:sz w:val="24"/>
                                      <w:szCs w:val="28"/>
                                    </w:rPr>
                                  </w:pPr>
                                  <w:r>
                                    <w:rPr>
                                      <w:rFonts w:hint="eastAsia"/>
                                    </w:rPr>
                                    <w:t>（本稿完成日期</w:t>
                                  </w:r>
                                  <w:r>
                                    <w:t>202</w:t>
                                  </w:r>
                                  <w:r>
                                    <w:rPr>
                                      <w:rFonts w:hint="eastAsia"/>
                                    </w:rPr>
                                    <w:t>5</w:t>
                                  </w:r>
                                  <w:r>
                                    <w:t>年9月2</w:t>
                                  </w:r>
                                  <w:r>
                                    <w:rPr>
                                      <w:rFonts w:hint="eastAsia"/>
                                    </w:rPr>
                                    <w:t>3</w:t>
                                  </w:r>
                                  <w:r>
                                    <w:t>日）</w:t>
                                  </w:r>
                                </w:p>
                              </w:tc>
                            </w:tr>
                            <w:tr w14:paraId="51E03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159D62B3">
                                  <w:pPr>
                                    <w:spacing w:before="180" w:after="160" w:line="180" w:lineRule="exact"/>
                                    <w:jc w:val="center"/>
                                    <w:textAlignment w:val="center"/>
                                    <w:rPr>
                                      <w:rFonts w:ascii="宋体"/>
                                      <w:kern w:val="0"/>
                                      <w:szCs w:val="28"/>
                                    </w:rPr>
                                  </w:pPr>
                                </w:p>
                              </w:tc>
                            </w:tr>
                          </w:tbl>
                          <w:p w14:paraId="6255A6FD">
                            <w:pPr>
                              <w:pStyle w:val="36"/>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8.9pt;margin-top:265.15pt;height:393.5pt;width:470.5pt;mso-position-horizontal-relative:margin;mso-position-vertical-relative:margin;z-index:251659264;mso-width-relative:page;mso-height-relative:page;" fillcolor="#FFFFFF" filled="t" stroked="f" coordsize="21600,21600" o:gfxdata="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SSur32wAAAAwBAAAPAAAAAAAA&#10;AAEAIAAAACIAAABkcnMvZG93bnJldi54bWxQSwECFAAUAAAACACHTuJAuCtj6g8CAAAsBAAADgAA&#10;AAAAAAABACAAAAAqAQAAZHJzL2Uyb0RvYy54bWxQSwUGAAAAAAYABgBZAQAAqwUAAAAA&#10;">
                <v:fill on="t" focussize="0,0"/>
                <v:stroke on="f"/>
                <v:imagedata o:title=""/>
                <o:lock v:ext="edit" aspectratio="f"/>
                <v:textbox inset="0mm,0mm,0mm,0mm">
                  <w:txbxContent>
                    <w:p w14:paraId="7ABD3116">
                      <w:pPr>
                        <w:pStyle w:val="48"/>
                        <w:rPr>
                          <w:snapToGrid w:val="0"/>
                          <w:lang w:val="en-GB"/>
                        </w:rPr>
                      </w:pPr>
                      <w:r>
                        <w:rPr>
                          <w:rFonts w:hint="eastAsia"/>
                        </w:rPr>
                        <w:br w:type="textWrapping"/>
                      </w:r>
                      <w:r>
                        <w:rPr>
                          <w:rFonts w:hint="eastAsia"/>
                          <w:snapToGrid w:val="0"/>
                          <w:lang w:val="en-GB"/>
                        </w:rPr>
                        <w:t>农药田间药效试验准则</w:t>
                      </w:r>
                    </w:p>
                    <w:p w14:paraId="471105F0">
                      <w:pPr>
                        <w:pStyle w:val="48"/>
                      </w:pPr>
                      <w:r>
                        <w:rPr>
                          <w:rFonts w:hint="eastAsia"/>
                          <w:snapToGrid w:val="0"/>
                          <w:lang w:val="en-GB"/>
                        </w:rPr>
                        <w:t>第105部分：</w:t>
                      </w:r>
                      <w:r>
                        <w:rPr>
                          <w:rFonts w:hint="eastAsia"/>
                        </w:rPr>
                        <w:t>杀菌剂防治大豆炭疽病</w:t>
                      </w:r>
                    </w:p>
                    <w:p w14:paraId="731DA638">
                      <w:pPr>
                        <w:pStyle w:val="48"/>
                      </w:pPr>
                    </w:p>
                    <w:p w14:paraId="537EB0F9">
                      <w:pPr>
                        <w:jc w:val="center"/>
                        <w:rPr>
                          <w:kern w:val="0"/>
                          <w:sz w:val="28"/>
                          <w:szCs w:val="20"/>
                        </w:rPr>
                      </w:pPr>
                      <w:r>
                        <w:rPr>
                          <w:rFonts w:hint="eastAsia"/>
                          <w:kern w:val="0"/>
                          <w:sz w:val="28"/>
                          <w:szCs w:val="20"/>
                        </w:rPr>
                        <w:t>Pesti</w:t>
                      </w:r>
                      <w:r>
                        <w:rPr>
                          <w:kern w:val="0"/>
                          <w:sz w:val="28"/>
                          <w:szCs w:val="20"/>
                        </w:rPr>
                        <w:t>cide</w:t>
                      </w:r>
                      <w:r>
                        <w:rPr>
                          <w:rFonts w:hint="eastAsia"/>
                          <w:kern w:val="0"/>
                          <w:sz w:val="28"/>
                          <w:szCs w:val="20"/>
                        </w:rPr>
                        <w:t xml:space="preserve"> </w:t>
                      </w:r>
                      <w:r>
                        <w:rPr>
                          <w:kern w:val="0"/>
                          <w:sz w:val="28"/>
                          <w:szCs w:val="20"/>
                        </w:rPr>
                        <w:t xml:space="preserve">guidelines for the field efficacy trials— </w:t>
                      </w:r>
                    </w:p>
                    <w:p w14:paraId="3E581966">
                      <w:pPr>
                        <w:jc w:val="center"/>
                        <w:rPr>
                          <w:kern w:val="0"/>
                          <w:sz w:val="28"/>
                          <w:szCs w:val="20"/>
                        </w:rPr>
                      </w:pPr>
                      <w:r>
                        <w:rPr>
                          <w:rFonts w:hint="eastAsia"/>
                          <w:kern w:val="0"/>
                          <w:sz w:val="28"/>
                          <w:szCs w:val="20"/>
                        </w:rPr>
                        <w:t>P</w:t>
                      </w:r>
                      <w:r>
                        <w:rPr>
                          <w:kern w:val="0"/>
                          <w:sz w:val="28"/>
                          <w:szCs w:val="20"/>
                        </w:rPr>
                        <w:t>art</w:t>
                      </w:r>
                      <w:r>
                        <w:rPr>
                          <w:kern w:val="0"/>
                          <w:sz w:val="28"/>
                          <w:szCs w:val="28"/>
                        </w:rPr>
                        <w:t xml:space="preserve"> </w:t>
                      </w:r>
                      <w:r>
                        <w:rPr>
                          <w:rFonts w:hint="eastAsia"/>
                          <w:sz w:val="28"/>
                          <w:szCs w:val="28"/>
                        </w:rPr>
                        <w:t>105</w:t>
                      </w:r>
                      <w:r>
                        <w:rPr>
                          <w:kern w:val="0"/>
                          <w:sz w:val="28"/>
                          <w:szCs w:val="20"/>
                        </w:rPr>
                        <w:t>: Fungicides against anthracnose of soybeans</w:t>
                      </w:r>
                    </w:p>
                    <w:p w14:paraId="54D328D5">
                      <w:pPr>
                        <w:pStyle w:val="2"/>
                        <w:rPr>
                          <w:b w:val="0"/>
                          <w:bCs w:val="0"/>
                          <w:sz w:val="28"/>
                          <w:szCs w:val="20"/>
                        </w:rPr>
                      </w:pPr>
                    </w:p>
                    <w:p w14:paraId="43D257DC">
                      <w:pPr>
                        <w:pStyle w:val="36"/>
                      </w:pPr>
                      <w:r>
                        <w:rPr>
                          <w:rFonts w:hint="eastAsia"/>
                        </w:rPr>
                        <w:t>（征求意见稿）</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6"/>
                      </w:tblGrid>
                      <w:tr w14:paraId="4ED67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ED5C2EF">
                            <w:pPr>
                              <w:spacing w:before="180" w:after="160" w:line="180" w:lineRule="exact"/>
                              <w:jc w:val="center"/>
                              <w:textAlignment w:val="center"/>
                              <w:rPr>
                                <w:rFonts w:ascii="宋体"/>
                                <w:b/>
                                <w:bCs/>
                                <w:kern w:val="0"/>
                                <w:sz w:val="24"/>
                                <w:szCs w:val="36"/>
                              </w:rPr>
                            </w:pPr>
                            <w:r>
                              <w:rPr>
                                <w:rFonts w:hint="eastAsia" w:ascii="宋体"/>
                                <w:b/>
                                <w:bCs/>
                                <w:kern w:val="0"/>
                                <w:sz w:val="24"/>
                                <w:szCs w:val="36"/>
                              </w:rPr>
                              <w:t>在提交反馈意见时，请将您知道的相关专利连同支持性文件一并附上。</w:t>
                            </w:r>
                          </w:p>
                          <w:p w14:paraId="02372F0E">
                            <w:pPr>
                              <w:spacing w:before="440" w:after="160"/>
                              <w:jc w:val="center"/>
                              <w:textAlignment w:val="center"/>
                              <w:rPr>
                                <w:rFonts w:ascii="宋体"/>
                                <w:b/>
                                <w:bCs/>
                                <w:kern w:val="0"/>
                                <w:sz w:val="24"/>
                                <w:szCs w:val="36"/>
                              </w:rPr>
                            </w:pPr>
                            <w:r>
                              <w:rPr>
                                <w:rFonts w:hint="eastAsia" w:ascii="宋体"/>
                                <w:b/>
                                <w:bCs/>
                                <w:kern w:val="0"/>
                                <w:sz w:val="24"/>
                                <w:szCs w:val="36"/>
                              </w:rPr>
                              <w:t>（注：征求意见时必须保留这句话。）</w:t>
                            </w:r>
                          </w:p>
                          <w:p w14:paraId="19A44ACE">
                            <w:pPr>
                              <w:spacing w:before="440" w:after="160"/>
                              <w:jc w:val="center"/>
                              <w:textAlignment w:val="center"/>
                              <w:rPr>
                                <w:rFonts w:ascii="宋体"/>
                                <w:kern w:val="0"/>
                                <w:sz w:val="24"/>
                                <w:szCs w:val="28"/>
                              </w:rPr>
                            </w:pPr>
                            <w:r>
                              <w:rPr>
                                <w:rFonts w:hint="eastAsia"/>
                              </w:rPr>
                              <w:t>（本稿完成日期</w:t>
                            </w:r>
                            <w:r>
                              <w:t>202</w:t>
                            </w:r>
                            <w:r>
                              <w:rPr>
                                <w:rFonts w:hint="eastAsia"/>
                              </w:rPr>
                              <w:t>5</w:t>
                            </w:r>
                            <w:r>
                              <w:t>年9月2</w:t>
                            </w:r>
                            <w:r>
                              <w:rPr>
                                <w:rFonts w:hint="eastAsia"/>
                              </w:rPr>
                              <w:t>3</w:t>
                            </w:r>
                            <w:r>
                              <w:t>日）</w:t>
                            </w:r>
                          </w:p>
                        </w:tc>
                      </w:tr>
                      <w:tr w14:paraId="51E03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159D62B3">
                            <w:pPr>
                              <w:spacing w:before="180" w:after="160" w:line="180" w:lineRule="exact"/>
                              <w:jc w:val="center"/>
                              <w:textAlignment w:val="center"/>
                              <w:rPr>
                                <w:rFonts w:ascii="宋体"/>
                                <w:kern w:val="0"/>
                                <w:szCs w:val="28"/>
                              </w:rPr>
                            </w:pPr>
                          </w:p>
                        </w:tc>
                      </w:tr>
                    </w:tbl>
                    <w:p w14:paraId="6255A6FD">
                      <w:pPr>
                        <w:pStyle w:val="36"/>
                      </w:pP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1010920</wp:posOffset>
                </wp:positionV>
                <wp:extent cx="6120130" cy="543560"/>
                <wp:effectExtent l="0" t="0" r="0" b="8890"/>
                <wp:wrapNone/>
                <wp:docPr id="3"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543560"/>
                        </a:xfrm>
                        <a:prstGeom prst="rect">
                          <a:avLst/>
                        </a:prstGeom>
                        <a:solidFill>
                          <a:srgbClr val="FFFFFF"/>
                        </a:solidFill>
                        <a:ln>
                          <a:noFill/>
                        </a:ln>
                      </wps:spPr>
                      <wps:txbx>
                        <w:txbxContent>
                          <w:p w14:paraId="38CC4251">
                            <w:pPr>
                              <w:pStyle w:val="37"/>
                              <w:rPr>
                                <w:rFonts w:hint="eastAsia"/>
                                <w:sz w:val="48"/>
                                <w:szCs w:val="48"/>
                              </w:rPr>
                            </w:pPr>
                            <w:r>
                              <w:rPr>
                                <w:rFonts w:hint="eastAsia"/>
                                <w:sz w:val="48"/>
                                <w:szCs w:val="48"/>
                              </w:rPr>
                              <w:t>中华人民共和国农业行业标准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79.6pt;height:42.8pt;width:481.9pt;mso-position-horizontal-relative:margin;mso-position-vertical-relative:margin;z-index:251659264;mso-width-relative:page;mso-height-relative:page;" fillcolor="#FFFFFF" filled="t" stroked="f" coordsize="21600,21600" o:gfxdata="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ngl73YAAAACAEAAA8AAAAAAAAAAQAg&#10;AAAAIgAAAGRycy9kb3ducmV2LnhtbFBLAQIUABQAAAAIAIdO4kCCrqbQDgIAACsEAAAOAAAAAAAA&#10;AAEAIAAAACcBAABkcnMvZTJvRG9jLnhtbFBLBQYAAAAABgAGAFkBAACnBQAAAAA=&#10;">
                <v:fill on="t" focussize="0,0"/>
                <v:stroke on="f"/>
                <v:imagedata o:title=""/>
                <o:lock v:ext="edit" aspectratio="f"/>
                <v:textbox inset="0mm,0mm,0mm,0mm">
                  <w:txbxContent>
                    <w:p w14:paraId="38CC4251">
                      <w:pPr>
                        <w:pStyle w:val="37"/>
                        <w:rPr>
                          <w:rFonts w:hint="eastAsia"/>
                          <w:sz w:val="48"/>
                          <w:szCs w:val="48"/>
                        </w:rPr>
                      </w:pPr>
                      <w:r>
                        <w:rPr>
                          <w:rFonts w:hint="eastAsia"/>
                          <w:sz w:val="48"/>
                          <w:szCs w:val="48"/>
                        </w:rPr>
                        <w:t>中华人民共和国农业行业标准</w:t>
                      </w:r>
                    </w:p>
                  </w:txbxContent>
                </v:textbox>
                <w10:anchorlock/>
              </v:shape>
            </w:pict>
          </mc:Fallback>
        </mc:AlternateContent>
      </w:r>
    </w:p>
    <w:p w14:paraId="09563839">
      <w:pPr>
        <w:pStyle w:val="56"/>
        <w:rPr>
          <w:rFonts w:hint="eastAsia"/>
        </w:rPr>
      </w:pPr>
    </w:p>
    <w:p w14:paraId="4BB7A0AC">
      <w:pPr>
        <w:pStyle w:val="56"/>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rPr>
      </w:pPr>
      <w:r>
        <w:t>前</w:t>
      </w:r>
      <w:r>
        <w:rPr>
          <w:rFonts w:hint="eastAsia"/>
        </w:rPr>
        <w:t xml:space="preserve"> </w:t>
      </w:r>
      <w:r>
        <w:t xml:space="preserve"> 言</w:t>
      </w:r>
    </w:p>
    <w:p w14:paraId="5E9BC8A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本</w:t>
      </w:r>
      <w:r>
        <w:rPr>
          <w:rFonts w:hint="eastAsia"/>
        </w:rPr>
        <w:t>文件按照 GB/T 1.1</w:t>
      </w:r>
      <w:r>
        <w:t>—</w:t>
      </w:r>
      <w:r>
        <w:rPr>
          <w:rFonts w:hint="eastAsia"/>
        </w:rPr>
        <w:t>2020《标准化工作导则 第1部分：标准化文件的结构和起草规则》的规定起草</w:t>
      </w:r>
      <w:r>
        <w:t>。</w:t>
      </w:r>
    </w:p>
    <w:p w14:paraId="0890BEE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本文件是</w:t>
      </w:r>
      <w:r>
        <w:t>NY/T 1464</w:t>
      </w:r>
      <w:r>
        <w:rPr>
          <w:rFonts w:hint="eastAsia"/>
        </w:rPr>
        <w:t>《农药田间药效试验准则》的第105部分。</w:t>
      </w:r>
      <w:r>
        <w:t>NY/T 1464</w:t>
      </w:r>
      <w:r>
        <w:rPr>
          <w:rFonts w:hint="eastAsia"/>
        </w:rPr>
        <w:t>已经发布了以下部分：</w:t>
      </w:r>
    </w:p>
    <w:p w14:paraId="7A80F58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——第1部分：杀虫剂防治飞蝗；</w:t>
      </w:r>
    </w:p>
    <w:p w14:paraId="4058256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——第2部分：杀虫剂防治水稻稻水象甲；</w:t>
      </w:r>
    </w:p>
    <w:p w14:paraId="109F562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——第3部分：杀虫剂防治棉盲蝽；</w:t>
      </w:r>
    </w:p>
    <w:p w14:paraId="4BB8F46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——第4部分：杀虫剂防治梨黄粉蚜；</w:t>
      </w:r>
    </w:p>
    <w:p w14:paraId="1185E6C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——第5部分：杀虫剂防治苹果绵蚜；</w:t>
      </w:r>
    </w:p>
    <w:p w14:paraId="58F2DFF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——第6部分：杀虫剂防治蔬菜蓟马；</w:t>
      </w:r>
    </w:p>
    <w:p w14:paraId="7887F79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——第7部分：杀菌剂防治烟草炭疽病；</w:t>
      </w:r>
    </w:p>
    <w:p w14:paraId="1332B11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——第8部分：杀菌剂防治番茄病毒病；</w:t>
      </w:r>
    </w:p>
    <w:p w14:paraId="1AC10A7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——第9部分：杀菌剂防治辣椒病毒病；</w:t>
      </w:r>
    </w:p>
    <w:p w14:paraId="7ABC214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——第10部分：杀菌剂防治磨菇湿泡病；</w:t>
      </w:r>
    </w:p>
    <w:p w14:paraId="1E5629D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——第11部分：杀菌剂防治香蕉黑星病；</w:t>
      </w:r>
    </w:p>
    <w:p w14:paraId="6A8EFC3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——第12部分：杀菌剂防治葡萄白粉病；</w:t>
      </w:r>
    </w:p>
    <w:p w14:paraId="0A6F645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——第13部分：杀菌剂防治葡萄炭疽病；</w:t>
      </w:r>
    </w:p>
    <w:p w14:paraId="6E6814B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——第14部分：杀菌剂防治水稻立枯病；</w:t>
      </w:r>
    </w:p>
    <w:p w14:paraId="29EFD7D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——第15部分：杀菌剂防治小麦赤霉病；</w:t>
      </w:r>
    </w:p>
    <w:p w14:paraId="713957C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——第16部分：杀菌剂防治小麦根腐病；</w:t>
      </w:r>
    </w:p>
    <w:p w14:paraId="3FE88DD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——第17部分：除草剂防治绿豆田杂草；</w:t>
      </w:r>
    </w:p>
    <w:p w14:paraId="579614F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——第18部分：除草剂防治芝麻田杂草；</w:t>
      </w:r>
    </w:p>
    <w:p w14:paraId="33B054B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——第19部分：除草剂防治枸杞地杂草；</w:t>
      </w:r>
    </w:p>
    <w:p w14:paraId="0EAE3D9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——第20部分：除草剂防治番茄田杂草；</w:t>
      </w:r>
    </w:p>
    <w:p w14:paraId="4D7E305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——第21部分：除草剂防治黄瓜田杂草；</w:t>
      </w:r>
    </w:p>
    <w:p w14:paraId="7D11229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——第22部分：除草剂防治大蒜田杂草；</w:t>
      </w:r>
    </w:p>
    <w:p w14:paraId="1568E26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——第23部分：除草剂防治苜蓿田杂草；</w:t>
      </w:r>
    </w:p>
    <w:p w14:paraId="73C28AD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——第24部分：除草剂防治红小豆田杂草；</w:t>
      </w:r>
    </w:p>
    <w:p w14:paraId="0954685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——第25部分：除草剂防治烟草苗床杂草；</w:t>
      </w:r>
    </w:p>
    <w:p w14:paraId="06349C1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——第26部分：棉花催枯剂试验；</w:t>
      </w:r>
    </w:p>
    <w:p w14:paraId="2B55E6B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——第27部分：杀虫剂防治十字花科蔬菜蚜虫；</w:t>
      </w:r>
    </w:p>
    <w:p w14:paraId="197FEC32">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——第28部分：杀虫剂防治林木天牛；</w:t>
      </w:r>
    </w:p>
    <w:p w14:paraId="5B94F01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——第29部分：杀虫剂防治松褐天牛；</w:t>
      </w:r>
    </w:p>
    <w:p w14:paraId="7BCC59F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——第30部分：杀菌剂防治烟草角斑病；</w:t>
      </w:r>
    </w:p>
    <w:p w14:paraId="69A4DD0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——第31部分：杀菌剂防治生姜姜瘟病；</w:t>
      </w:r>
    </w:p>
    <w:p w14:paraId="74C056A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——第32部分：杀菌剂防治番茄青枯病；</w:t>
      </w:r>
    </w:p>
    <w:p w14:paraId="11C8D083">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——第33部分：杀菌剂防治豇豆锈病；</w:t>
      </w:r>
    </w:p>
    <w:p w14:paraId="5FF3D9A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——第34部分：杀菌剂防治茄子黄萎病；</w:t>
      </w:r>
    </w:p>
    <w:p w14:paraId="28F2A282">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——第35部分：除草剂防治直播蔬菜田杂草；</w:t>
      </w:r>
    </w:p>
    <w:p w14:paraId="7F5114D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——第36部分：除草剂防治菠萝地杂草；</w:t>
      </w:r>
    </w:p>
    <w:p w14:paraId="64995E1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——第37部分：杀虫剂防治蘑菇菌蛆和害螨；</w:t>
      </w:r>
    </w:p>
    <w:p w14:paraId="6ABC487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——第38部分：杀菌剂防治黄瓜黑星病；</w:t>
      </w:r>
    </w:p>
    <w:p w14:paraId="5435C7F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——第39部分：杀菌剂防治莴苣霜霉病；</w:t>
      </w:r>
    </w:p>
    <w:p w14:paraId="2E451F6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——第40部分：除草剂防治免耕小麦田杂草；</w:t>
      </w:r>
    </w:p>
    <w:p w14:paraId="2CD38A7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——第41部分：除草剂防治免耕油菜田杂草；</w:t>
      </w:r>
    </w:p>
    <w:p w14:paraId="4A74BAD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——第42部分：杀虫剂防治马铃薯二十八星瓢虫；</w:t>
      </w:r>
    </w:p>
    <w:p w14:paraId="7B30DDB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——第43部分：杀虫剂防治蔬菜烟粉虱；</w:t>
      </w:r>
    </w:p>
    <w:p w14:paraId="1CB688E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——第44部分：杀菌剂防治烟草野火病；</w:t>
      </w:r>
    </w:p>
    <w:p w14:paraId="21ADD9A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——第45部分：杀菌剂防治三七圆斑病；</w:t>
      </w:r>
    </w:p>
    <w:p w14:paraId="2583EB8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——第46部分：杀菌剂防治草坪草叶斑病；</w:t>
      </w:r>
    </w:p>
    <w:p w14:paraId="50EF90A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——第47部分：除草剂防治林业防火道杂草；</w:t>
      </w:r>
    </w:p>
    <w:p w14:paraId="118D451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——第48部分：植物生长调节剂调控月季生长；</w:t>
      </w:r>
    </w:p>
    <w:p w14:paraId="73A1395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——第49部分：杀菌剂防治烟草青枯病；</w:t>
      </w:r>
    </w:p>
    <w:p w14:paraId="0B215CE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——第50部分：植物生长调节剂调控菊花生长；</w:t>
      </w:r>
    </w:p>
    <w:p w14:paraId="19F4E5E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——第51部分：杀虫剂防治柑橘树蚜虫；</w:t>
      </w:r>
    </w:p>
    <w:p w14:paraId="6324914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——第52部分：杀虫剂防治枣树盲蝽；</w:t>
      </w:r>
    </w:p>
    <w:p w14:paraId="0CE734A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——第53部分：杀菌剂防治十字花科蔬菜根肿病；</w:t>
      </w:r>
    </w:p>
    <w:p w14:paraId="1CDACF6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——第54部分：杀菌剂防治水稻稻曲病；</w:t>
      </w:r>
    </w:p>
    <w:p w14:paraId="115407E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——第55部分：除草剂防治姜田杂草；</w:t>
      </w:r>
    </w:p>
    <w:p w14:paraId="5FC0D09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——第56部分：杀虫剂防治枸杞蚜虫；</w:t>
      </w:r>
    </w:p>
    <w:p w14:paraId="030EDAE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——第57部分：杀菌剂防治平菇轮枝霉褐斑病；</w:t>
      </w:r>
    </w:p>
    <w:p w14:paraId="6BF032D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——第58部分：植物生长调节剂调控枣树座果；</w:t>
      </w:r>
    </w:p>
    <w:p w14:paraId="78DB7663">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——第59部分：杀虫剂防治茭白螟虫；</w:t>
      </w:r>
    </w:p>
    <w:p w14:paraId="1659B6B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——第60部分：杀虫剂防治姜（储藏期）异型眼蕈蚊幼虫；</w:t>
      </w:r>
    </w:p>
    <w:p w14:paraId="0AC362F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——第61部分：除草剂防治高粱田杂草；</w:t>
      </w:r>
    </w:p>
    <w:p w14:paraId="04B8B1C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——第62部分：植物生长调节剂促进西瓜生长；</w:t>
      </w:r>
    </w:p>
    <w:p w14:paraId="3C89693A">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——第63部分：杀虫剂防治枸杞刺皮瘿螨；</w:t>
      </w:r>
    </w:p>
    <w:p w14:paraId="7E969D8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——第64部分：杀菌剂防治五加科植物黑斑病；</w:t>
      </w:r>
    </w:p>
    <w:p w14:paraId="73270F0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——第65部分：杀菌剂防治茭白锈病；</w:t>
      </w:r>
    </w:p>
    <w:p w14:paraId="3C7758A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——第66部分：除草剂防治谷子田杂草；</w:t>
      </w:r>
    </w:p>
    <w:p w14:paraId="4991D16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——第67部分：植物生长调节剂保鲜水果；</w:t>
      </w:r>
    </w:p>
    <w:p w14:paraId="7A1BD74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——第68部分：杀虫剂防治杨梅果蝇；</w:t>
      </w:r>
    </w:p>
    <w:p w14:paraId="191E9DB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——第69部分：杀虫剂防治樱桃梨小食心虫；</w:t>
      </w:r>
    </w:p>
    <w:p w14:paraId="4695C7C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——第70部分：杀菌剂防治茭白胡麻叶斑病；</w:t>
      </w:r>
    </w:p>
    <w:p w14:paraId="7B1EFE8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——第71部分：杀菌剂防治杨梅褐斑病；</w:t>
      </w:r>
    </w:p>
    <w:p w14:paraId="6F167E7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——第72部分：杀菌剂防治猕猴桃树溃疡病；</w:t>
      </w:r>
    </w:p>
    <w:p w14:paraId="4CFD9E53">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——第73部分：杀菌剂防治烟草病毒病；</w:t>
      </w:r>
    </w:p>
    <w:p w14:paraId="38AFB7E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——第74部分：除草剂防治葱田杂草；</w:t>
      </w:r>
    </w:p>
    <w:p w14:paraId="4830273D">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——第75部分：植物生长调节剂保鲜鲜切花；</w:t>
      </w:r>
    </w:p>
    <w:p w14:paraId="7A5E19B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——第76部分：植物生长调节剂促进花生生长</w:t>
      </w:r>
      <w:r>
        <w:rPr>
          <w:rFonts w:hint="eastAsia"/>
        </w:rPr>
        <w:t>；</w:t>
      </w:r>
    </w:p>
    <w:p w14:paraId="070D510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第77部分：杀虫剂防治豆类蔬菜豆荚螟；</w:t>
      </w:r>
    </w:p>
    <w:p w14:paraId="24EB5C5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第78部分：杀菌剂防治瓜类蔓枯病；</w:t>
      </w:r>
    </w:p>
    <w:p w14:paraId="7441DEF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第79部分：杀菌剂防治薏苡黑穗病；</w:t>
      </w:r>
    </w:p>
    <w:p w14:paraId="1E13FC3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第80部分：除草剂防治胡萝卜田杂草；</w:t>
      </w:r>
    </w:p>
    <w:p w14:paraId="7FBF399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第81部分：植物生长调节剂促进杨树生根；</w:t>
      </w:r>
    </w:p>
    <w:p w14:paraId="6610785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第82部分：植物生长调节剂调节枇杷树生长；</w:t>
      </w:r>
    </w:p>
    <w:p w14:paraId="20E5ADC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第83部分：杀虫剂防治豇豆蓟马；</w:t>
      </w:r>
    </w:p>
    <w:p w14:paraId="3EBE1B2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第84部分：杀菌剂防治玉米纹枯病；</w:t>
      </w:r>
    </w:p>
    <w:p w14:paraId="1E24BC5A">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第85部分：杀菌剂防治花生根腐病；</w:t>
      </w:r>
    </w:p>
    <w:p w14:paraId="025A94FA">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第86部分：杀菌剂防治辣椒枯萎病；</w:t>
      </w:r>
    </w:p>
    <w:p w14:paraId="6811EAD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第87部分：除草剂防治甘薯田杂草；</w:t>
      </w:r>
    </w:p>
    <w:p w14:paraId="126B713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第88部分：植物生长调节剂控制草坪草生长；</w:t>
      </w:r>
    </w:p>
    <w:p w14:paraId="3EE3D29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第89部分：植物生长调节剂促进草莓花芽分化；</w:t>
      </w:r>
    </w:p>
    <w:p w14:paraId="4512520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第90部分：杀虫剂防治烟草蚜虫；</w:t>
      </w:r>
    </w:p>
    <w:p w14:paraId="6AE2B83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第91部分：杀虫剂防治柑橘木虱；</w:t>
      </w:r>
    </w:p>
    <w:p w14:paraId="16C189E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第92部分：杀菌剂防治贝母灰霉病；</w:t>
      </w:r>
    </w:p>
    <w:p w14:paraId="19D4CCE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第93部分：杀菌剂防治花生疮痂病；</w:t>
      </w:r>
    </w:p>
    <w:p w14:paraId="13C6375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第94部分：杀菌剂防治樱桃褐斑穿孔病；</w:t>
      </w:r>
    </w:p>
    <w:p w14:paraId="364550D5">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第95部分：除草剂防治洋葱田杂草；</w:t>
      </w:r>
    </w:p>
    <w:p w14:paraId="1C3AC184">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第96部分：植物生长调节剂促进叶菜类蔬菜生长；</w:t>
      </w:r>
    </w:p>
    <w:p w14:paraId="151E9908">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第97部分：植物生长调节剂促进辣椒生长；</w:t>
      </w:r>
    </w:p>
    <w:p w14:paraId="51E1849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第98部分：杀虫剂防治葡萄盲蝽；</w:t>
      </w:r>
    </w:p>
    <w:p w14:paraId="5C532D6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w:t>
      </w:r>
      <w:r>
        <w:rPr>
          <w:rFonts w:hint="eastAsia"/>
        </w:rPr>
        <w:t>第9</w:t>
      </w:r>
      <w:r>
        <w:t>9</w:t>
      </w:r>
      <w:r>
        <w:rPr>
          <w:rFonts w:hint="eastAsia"/>
        </w:rPr>
        <w:t>部分：杀菌剂防治柑橘树脂病；</w:t>
      </w:r>
    </w:p>
    <w:p w14:paraId="53A8C05E">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rPr>
        <w:t>——</w:t>
      </w:r>
      <w:r>
        <w:rPr>
          <w:rFonts w:hint="default" w:ascii="Times New Roman" w:hAnsi="Times New Roman" w:eastAsia="宋体" w:cs="Times New Roman"/>
        </w:rPr>
        <w:t>第</w:t>
      </w:r>
      <w:r>
        <w:rPr>
          <w:rFonts w:hint="eastAsia" w:ascii="Times New Roman" w:hAnsi="Times New Roman" w:eastAsia="宋体" w:cs="Times New Roman"/>
          <w:lang w:val="en-US" w:eastAsia="zh-CN"/>
        </w:rPr>
        <w:t>100</w:t>
      </w:r>
      <w:r>
        <w:rPr>
          <w:rFonts w:hint="default" w:ascii="Times New Roman" w:hAnsi="Times New Roman" w:eastAsia="宋体" w:cs="Times New Roman"/>
        </w:rPr>
        <w:t>部分：杀菌剂防治小麦茎基腐病；</w:t>
      </w:r>
    </w:p>
    <w:p w14:paraId="3E6AC1E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——第</w:t>
      </w:r>
      <w:r>
        <w:rPr>
          <w:rFonts w:hint="eastAsia" w:ascii="Times New Roman" w:hAnsi="Times New Roman" w:eastAsia="宋体" w:cs="Times New Roman"/>
          <w:lang w:val="en-US" w:eastAsia="zh-CN"/>
        </w:rPr>
        <w:t>101</w:t>
      </w:r>
      <w:r>
        <w:rPr>
          <w:rFonts w:hint="default" w:ascii="Times New Roman" w:hAnsi="Times New Roman" w:eastAsia="宋体" w:cs="Times New Roman"/>
        </w:rPr>
        <w:t>部分：杀线虫剂注干防治松材线虫病</w:t>
      </w:r>
      <w:r>
        <w:rPr>
          <w:rFonts w:hint="default" w:ascii="Times New Roman" w:hAnsi="Times New Roman" w:eastAsia="宋体" w:cs="Times New Roman"/>
          <w:lang w:eastAsia="zh-CN"/>
        </w:rPr>
        <w:t>；</w:t>
      </w:r>
    </w:p>
    <w:p w14:paraId="20C97F0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——第</w:t>
      </w:r>
      <w:r>
        <w:rPr>
          <w:rFonts w:hint="default" w:ascii="Times New Roman" w:hAnsi="Times New Roman" w:eastAsia="宋体" w:cs="Times New Roman"/>
          <w:lang w:val="en-US" w:eastAsia="zh-CN"/>
        </w:rPr>
        <w:t>102</w:t>
      </w:r>
      <w:r>
        <w:rPr>
          <w:rFonts w:hint="default" w:ascii="Times New Roman" w:hAnsi="Times New Roman" w:eastAsia="宋体" w:cs="Times New Roman"/>
        </w:rPr>
        <w:t>部分：杀虫剂防治玉米草地贪夜蛾</w:t>
      </w:r>
      <w:r>
        <w:rPr>
          <w:rFonts w:hint="default" w:ascii="Times New Roman" w:hAnsi="Times New Roman" w:eastAsia="宋体" w:cs="Times New Roman"/>
          <w:lang w:eastAsia="zh-CN"/>
        </w:rPr>
        <w:t>；</w:t>
      </w:r>
    </w:p>
    <w:p w14:paraId="5DC3D71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eastAsia" w:cs="Times New Roman"/>
          <w:lang w:eastAsia="zh-CN"/>
        </w:rPr>
      </w:pPr>
      <w:r>
        <w:rPr>
          <w:rFonts w:hint="default" w:ascii="Times New Roman" w:hAnsi="Times New Roman" w:eastAsia="宋体" w:cs="Times New Roman"/>
        </w:rPr>
        <w:t>——第</w:t>
      </w:r>
      <w:r>
        <w:rPr>
          <w:rFonts w:hint="default" w:ascii="Times New Roman" w:hAnsi="Times New Roman" w:eastAsia="宋体" w:cs="Times New Roman"/>
          <w:lang w:val="en-US" w:eastAsia="zh-CN"/>
        </w:rPr>
        <w:t>103</w:t>
      </w:r>
      <w:r>
        <w:rPr>
          <w:rFonts w:hint="default" w:ascii="Times New Roman" w:hAnsi="Times New Roman" w:eastAsia="宋体" w:cs="Times New Roman"/>
        </w:rPr>
        <w:t>部分：</w:t>
      </w:r>
      <w:r>
        <w:rPr>
          <w:rFonts w:hint="default" w:ascii="Times New Roman" w:hAnsi="Times New Roman" w:cs="Times New Roman"/>
        </w:rPr>
        <w:t>植物生长调节剂促进樱桃树萌芽</w:t>
      </w:r>
      <w:r>
        <w:rPr>
          <w:rFonts w:hint="eastAsia" w:cs="Times New Roman"/>
          <w:lang w:eastAsia="zh-CN"/>
        </w:rPr>
        <w:t>；</w:t>
      </w:r>
    </w:p>
    <w:p w14:paraId="2698A88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cs="Times New Roman"/>
          <w:lang w:eastAsia="zh-CN"/>
        </w:rPr>
      </w:pPr>
      <w:r>
        <w:rPr>
          <w:rFonts w:hint="default" w:ascii="Times New Roman" w:hAnsi="Times New Roman" w:eastAsia="宋体" w:cs="Times New Roman"/>
        </w:rPr>
        <w:t>——第</w:t>
      </w:r>
      <w:r>
        <w:rPr>
          <w:rFonts w:hint="default" w:ascii="Times New Roman" w:hAnsi="Times New Roman" w:eastAsia="宋体" w:cs="Times New Roman"/>
          <w:lang w:val="en-US" w:eastAsia="zh-CN"/>
        </w:rPr>
        <w:t>10</w:t>
      </w:r>
      <w:r>
        <w:rPr>
          <w:rFonts w:hint="eastAsia" w:ascii="Times New Roman" w:hAnsi="Times New Roman" w:eastAsia="宋体" w:cs="Times New Roman"/>
          <w:lang w:val="en-US" w:eastAsia="zh-CN"/>
        </w:rPr>
        <w:t>4</w:t>
      </w:r>
      <w:r>
        <w:rPr>
          <w:rFonts w:hint="default" w:ascii="Times New Roman" w:hAnsi="Times New Roman" w:eastAsia="宋体" w:cs="Times New Roman"/>
        </w:rPr>
        <w:t>部分：</w:t>
      </w:r>
      <w:r>
        <w:rPr>
          <w:rFonts w:hint="default" w:ascii="Times New Roman" w:hAnsi="Times New Roman" w:cs="Times New Roman"/>
        </w:rPr>
        <w:t>杀菌剂防治蒜薹储藏期灰霉病</w:t>
      </w:r>
      <w:r>
        <w:rPr>
          <w:rFonts w:hint="eastAsia" w:cs="Times New Roman"/>
          <w:lang w:eastAsia="zh-CN"/>
        </w:rPr>
        <w:t>。</w:t>
      </w:r>
    </w:p>
    <w:p w14:paraId="46C4D15C">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请注意本文件的某些内容可能涉及专利。本文件的发布机构不承担识别专利的责任。</w:t>
      </w:r>
    </w:p>
    <w:p w14:paraId="79F1992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本文件由中华人民共和国农业农村部种植业管理司提出。</w:t>
      </w:r>
    </w:p>
    <w:p w14:paraId="09A40B17">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rPr>
          <w:rFonts w:hint="eastAsia"/>
        </w:rPr>
        <w:t>本文件由全国农药标准化技术委员会（</w:t>
      </w:r>
      <w:r>
        <w:t>SAC/TC 133</w:t>
      </w:r>
      <w:r>
        <w:rPr>
          <w:rFonts w:hint="eastAsia"/>
        </w:rPr>
        <w:t>）归口。</w:t>
      </w:r>
    </w:p>
    <w:p w14:paraId="1B0746BF">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pPr>
      <w:r>
        <w:t>本文件起草单位：农业农村部农药检定所、</w:t>
      </w:r>
      <w:r>
        <w:rPr>
          <w:rFonts w:hint="eastAsia"/>
        </w:rPr>
        <w:t>福建省农业科学院植物保护研究所。</w:t>
      </w:r>
    </w:p>
    <w:p w14:paraId="6E41DEA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szCs w:val="32"/>
        </w:rPr>
      </w:pPr>
      <w:r>
        <w:t>本文件主要起草人：</w:t>
      </w:r>
      <w:r>
        <w:rPr>
          <w:snapToGrid w:val="0"/>
          <w:lang w:val="en-GB"/>
        </w:rPr>
        <w:br w:type="page"/>
      </w:r>
      <w:bookmarkEnd w:id="7"/>
    </w:p>
    <w:p w14:paraId="700690BE">
      <w:pPr>
        <w:pStyle w:val="61"/>
        <w:numPr>
          <w:ilvl w:val="0"/>
          <w:numId w:val="1"/>
        </w:numPr>
        <w:adjustRightInd w:val="0"/>
        <w:snapToGrid w:val="0"/>
        <w:spacing w:before="0" w:after="0" w:line="360" w:lineRule="auto"/>
        <w:ind w:left="0" w:firstLine="0"/>
        <w:rPr>
          <w:rFonts w:ascii="Times New Roman"/>
          <w:szCs w:val="32"/>
        </w:rPr>
        <w:sectPr>
          <w:headerReference r:id="rId10" w:type="first"/>
          <w:footerReference r:id="rId12" w:type="first"/>
          <w:headerReference r:id="rId9" w:type="default"/>
          <w:footerReference r:id="rId11" w:type="default"/>
          <w:pgSz w:w="12240" w:h="15840"/>
          <w:pgMar w:top="1440" w:right="1800" w:bottom="1440" w:left="1800" w:header="720" w:footer="720" w:gutter="0"/>
          <w:pgNumType w:fmt="upperRoman" w:start="1"/>
          <w:cols w:space="720" w:num="1"/>
          <w:titlePg/>
          <w:docGrid w:type="lines" w:linePitch="312" w:charSpace="0"/>
        </w:sectPr>
      </w:pPr>
    </w:p>
    <w:p w14:paraId="46EBAEB3">
      <w:pPr>
        <w:pStyle w:val="61"/>
        <w:numPr>
          <w:ilvl w:val="0"/>
          <w:numId w:val="1"/>
        </w:numPr>
        <w:adjustRightInd w:val="0"/>
        <w:snapToGrid w:val="0"/>
        <w:spacing w:before="0" w:after="0" w:line="360" w:lineRule="auto"/>
        <w:ind w:left="0" w:firstLine="0"/>
        <w:rPr>
          <w:rFonts w:ascii="Times New Roman"/>
          <w:szCs w:val="32"/>
        </w:rPr>
      </w:pPr>
    </w:p>
    <w:p w14:paraId="5A99F599">
      <w:pPr>
        <w:pStyle w:val="61"/>
        <w:numPr>
          <w:ilvl w:val="0"/>
          <w:numId w:val="1"/>
        </w:numPr>
        <w:adjustRightInd w:val="0"/>
        <w:snapToGrid w:val="0"/>
        <w:spacing w:before="0" w:after="0" w:line="360" w:lineRule="auto"/>
        <w:ind w:left="0" w:firstLine="0"/>
        <w:rPr>
          <w:rFonts w:ascii="Times New Roman"/>
          <w:szCs w:val="32"/>
        </w:rPr>
      </w:pPr>
      <w:r>
        <w:rPr>
          <w:rFonts w:hint="eastAsia" w:ascii="Times New Roman"/>
          <w:szCs w:val="32"/>
        </w:rPr>
        <w:t>农药田间药效试验准则</w:t>
      </w:r>
    </w:p>
    <w:p w14:paraId="5F6FCFFD">
      <w:pPr>
        <w:pStyle w:val="40"/>
        <w:adjustRightInd w:val="0"/>
        <w:snapToGrid w:val="0"/>
        <w:spacing w:before="0" w:after="0" w:line="360" w:lineRule="auto"/>
      </w:pPr>
      <w:r>
        <w:rPr>
          <w:rFonts w:hint="eastAsia"/>
        </w:rPr>
        <w:t>第</w:t>
      </w:r>
      <w:r>
        <w:rPr>
          <w:rFonts w:hint="eastAsia"/>
          <w:snapToGrid w:val="0"/>
          <w:lang w:val="en-GB"/>
        </w:rPr>
        <w:t>105</w:t>
      </w:r>
      <w:r>
        <w:rPr>
          <w:rFonts w:hint="eastAsia"/>
        </w:rPr>
        <w:t>部分：杀菌剂防治大豆炭疽病</w:t>
      </w:r>
    </w:p>
    <w:p w14:paraId="5F8AFBD8">
      <w:pPr>
        <w:adjustRightInd w:val="0"/>
        <w:snapToGrid w:val="0"/>
        <w:spacing w:line="360" w:lineRule="auto"/>
        <w:rPr>
          <w:rFonts w:hint="eastAsia" w:ascii="黑体" w:hAnsi="黑体" w:eastAsia="黑体" w:cs="黑体"/>
        </w:rPr>
      </w:pPr>
      <w:r>
        <w:rPr>
          <w:rFonts w:hint="eastAsia" w:ascii="黑体" w:hAnsi="黑体" w:eastAsia="黑体" w:cs="黑体"/>
        </w:rPr>
        <w:t>1范围</w:t>
      </w:r>
    </w:p>
    <w:p w14:paraId="71EC6CA0">
      <w:pPr>
        <w:adjustRightInd w:val="0"/>
        <w:snapToGrid w:val="0"/>
        <w:spacing w:line="360" w:lineRule="auto"/>
        <w:ind w:firstLine="420" w:firstLineChars="200"/>
      </w:pPr>
      <w:r>
        <w:t>本文件规定了杀菌剂防治大豆炭疽病（</w:t>
      </w:r>
      <w:r>
        <w:rPr>
          <w:i/>
          <w:iCs/>
        </w:rPr>
        <w:t xml:space="preserve">Colletotrichum </w:t>
      </w:r>
      <w:r>
        <w:rPr>
          <w:iCs/>
        </w:rPr>
        <w:t>spp.</w:t>
      </w:r>
      <w:r>
        <w:t>）田间药效小区试验的方法和基本要求。</w:t>
      </w:r>
    </w:p>
    <w:p w14:paraId="16102A31">
      <w:pPr>
        <w:adjustRightInd w:val="0"/>
        <w:snapToGrid w:val="0"/>
        <w:spacing w:line="360" w:lineRule="auto"/>
        <w:ind w:firstLine="420" w:firstLineChars="200"/>
      </w:pPr>
      <w:r>
        <w:t>本文件适用于杀菌剂防治大豆炭疽病登记的田间药效小区试验及药效评价。</w:t>
      </w:r>
    </w:p>
    <w:p w14:paraId="052F5B38">
      <w:pPr>
        <w:adjustRightInd w:val="0"/>
        <w:snapToGrid w:val="0"/>
        <w:spacing w:line="360" w:lineRule="auto"/>
        <w:rPr>
          <w:rFonts w:hint="eastAsia" w:ascii="黑体" w:hAnsi="黑体" w:eastAsia="黑体" w:cs="黑体"/>
        </w:rPr>
      </w:pPr>
      <w:r>
        <w:rPr>
          <w:rFonts w:hint="eastAsia" w:ascii="黑体" w:hAnsi="黑体" w:eastAsia="黑体" w:cs="黑体"/>
        </w:rPr>
        <w:t>2 规范性引用文件</w:t>
      </w:r>
    </w:p>
    <w:p w14:paraId="04CB166A">
      <w:pPr>
        <w:pStyle w:val="41"/>
        <w:adjustRightInd w:val="0"/>
        <w:snapToGrid w:val="0"/>
        <w:spacing w:line="360" w:lineRule="auto"/>
        <w:ind w:firstLine="420"/>
        <w:rPr>
          <w:rFonts w:ascii="Times New Roman"/>
        </w:rPr>
      </w:pPr>
      <w:r>
        <w:rPr>
          <w:rFonts w:ascii="Times New Roman"/>
        </w:rPr>
        <w:t>本文件没有规范性引用文件。</w:t>
      </w:r>
    </w:p>
    <w:p w14:paraId="7E279448">
      <w:pPr>
        <w:adjustRightInd w:val="0"/>
        <w:snapToGrid w:val="0"/>
        <w:spacing w:line="360" w:lineRule="auto"/>
        <w:rPr>
          <w:rFonts w:hint="eastAsia" w:ascii="黑体" w:hAnsi="黑体" w:eastAsia="黑体" w:cs="黑体"/>
        </w:rPr>
      </w:pPr>
      <w:r>
        <w:rPr>
          <w:rFonts w:hint="eastAsia" w:ascii="黑体" w:hAnsi="黑体" w:eastAsia="黑体" w:cs="黑体"/>
        </w:rPr>
        <w:t>3 术语和定义</w:t>
      </w:r>
    </w:p>
    <w:p w14:paraId="4F707BB3">
      <w:pPr>
        <w:pStyle w:val="41"/>
        <w:adjustRightInd w:val="0"/>
        <w:snapToGrid w:val="0"/>
        <w:spacing w:line="360" w:lineRule="auto"/>
        <w:ind w:firstLine="420"/>
        <w:rPr>
          <w:rFonts w:ascii="Times New Roman"/>
        </w:rPr>
      </w:pPr>
      <w:r>
        <w:rPr>
          <w:rFonts w:ascii="Times New Roman"/>
        </w:rPr>
        <w:t>本文件没有需要界定的术语和定义。</w:t>
      </w:r>
    </w:p>
    <w:p w14:paraId="29467173">
      <w:pPr>
        <w:adjustRightInd w:val="0"/>
        <w:snapToGrid w:val="0"/>
        <w:spacing w:line="360" w:lineRule="auto"/>
        <w:rPr>
          <w:rFonts w:hint="eastAsia" w:ascii="黑体" w:hAnsi="黑体" w:eastAsia="黑体" w:cs="黑体"/>
        </w:rPr>
      </w:pPr>
      <w:r>
        <w:rPr>
          <w:rFonts w:hint="eastAsia" w:ascii="黑体" w:hAnsi="黑体" w:eastAsia="黑体" w:cs="黑体"/>
        </w:rPr>
        <w:t>4试验条件</w:t>
      </w:r>
    </w:p>
    <w:p w14:paraId="0E7B0014">
      <w:pPr>
        <w:adjustRightInd w:val="0"/>
        <w:snapToGrid w:val="0"/>
        <w:spacing w:line="360" w:lineRule="auto"/>
        <w:rPr>
          <w:rFonts w:hint="eastAsia" w:ascii="黑体" w:hAnsi="黑体" w:eastAsia="黑体" w:cs="黑体"/>
        </w:rPr>
      </w:pPr>
      <w:r>
        <w:rPr>
          <w:rFonts w:hint="eastAsia" w:ascii="黑体" w:hAnsi="黑体" w:eastAsia="黑体" w:cs="黑体"/>
        </w:rPr>
        <w:t xml:space="preserve">4.1试验对象、作物和品种的选择 </w:t>
      </w:r>
    </w:p>
    <w:p w14:paraId="1FBEB4B1">
      <w:pPr>
        <w:adjustRightInd w:val="0"/>
        <w:snapToGrid w:val="0"/>
        <w:spacing w:line="360" w:lineRule="auto"/>
        <w:ind w:firstLine="420" w:firstLineChars="200"/>
      </w:pPr>
      <w:r>
        <w:t>试验对象为炭疽病。</w:t>
      </w:r>
    </w:p>
    <w:p w14:paraId="7226B154">
      <w:pPr>
        <w:adjustRightInd w:val="0"/>
        <w:snapToGrid w:val="0"/>
        <w:spacing w:line="360" w:lineRule="auto"/>
        <w:ind w:firstLine="420" w:firstLineChars="200"/>
      </w:pPr>
      <w:r>
        <w:t>试验作物为大豆，</w:t>
      </w:r>
      <w:r>
        <w:rPr>
          <w:rFonts w:hint="eastAsia"/>
        </w:rPr>
        <w:t>宜选择</w:t>
      </w:r>
      <w:r>
        <w:t>当地主栽且易感</w:t>
      </w:r>
      <w:r>
        <w:rPr>
          <w:rFonts w:hint="eastAsia"/>
        </w:rPr>
        <w:t>炭疽</w:t>
      </w:r>
      <w:r>
        <w:t>病</w:t>
      </w:r>
      <w:r>
        <w:rPr>
          <w:rFonts w:hint="eastAsia"/>
        </w:rPr>
        <w:t>的</w:t>
      </w:r>
      <w:r>
        <w:t>品种，记录品种名称。</w:t>
      </w:r>
    </w:p>
    <w:p w14:paraId="516DEB36">
      <w:pPr>
        <w:adjustRightInd w:val="0"/>
        <w:snapToGrid w:val="0"/>
        <w:spacing w:line="360" w:lineRule="auto"/>
        <w:rPr>
          <w:rFonts w:hint="eastAsia" w:ascii="黑体" w:hAnsi="黑体" w:eastAsia="黑体" w:cs="黑体"/>
        </w:rPr>
      </w:pPr>
      <w:r>
        <w:rPr>
          <w:rFonts w:hint="eastAsia" w:ascii="黑体" w:hAnsi="黑体" w:eastAsia="黑体" w:cs="黑体"/>
        </w:rPr>
        <w:t>4.2环境条件</w:t>
      </w:r>
    </w:p>
    <w:p w14:paraId="00E54EA9">
      <w:pPr>
        <w:adjustRightInd w:val="0"/>
        <w:snapToGrid w:val="0"/>
        <w:spacing w:line="360" w:lineRule="auto"/>
        <w:ind w:firstLine="420" w:firstLineChars="200"/>
      </w:pPr>
      <w:bookmarkStart w:id="13" w:name="_Hlk20755198"/>
      <w:r>
        <w:t>田间药效试验应选择有代表性、历年大豆炭疽病发病严重的地区及田块进行</w:t>
      </w:r>
      <w:bookmarkEnd w:id="13"/>
      <w:r>
        <w:t>。所有试验小区种植的大豆品种、栽培条件（如土壤类型、肥力、种植期、密度等）和管理水平应均匀一致，且符合当地科学农业</w:t>
      </w:r>
      <w:r>
        <w:rPr>
          <w:rFonts w:hint="eastAsia"/>
        </w:rPr>
        <w:t>实践</w:t>
      </w:r>
      <w:r>
        <w:t>。</w:t>
      </w:r>
    </w:p>
    <w:p w14:paraId="78076D47">
      <w:pPr>
        <w:adjustRightInd w:val="0"/>
        <w:snapToGrid w:val="0"/>
        <w:spacing w:line="360" w:lineRule="auto"/>
        <w:rPr>
          <w:rFonts w:hint="eastAsia" w:ascii="黑体" w:hAnsi="黑体" w:eastAsia="黑体" w:cs="黑体"/>
        </w:rPr>
      </w:pPr>
      <w:r>
        <w:rPr>
          <w:rFonts w:hint="eastAsia" w:ascii="黑体" w:hAnsi="黑体" w:eastAsia="黑体" w:cs="黑体"/>
        </w:rPr>
        <w:t>5试验设计和安排</w:t>
      </w:r>
    </w:p>
    <w:p w14:paraId="133CB5DD">
      <w:pPr>
        <w:adjustRightInd w:val="0"/>
        <w:snapToGrid w:val="0"/>
        <w:spacing w:line="360" w:lineRule="auto"/>
        <w:rPr>
          <w:rFonts w:hint="eastAsia" w:ascii="黑体" w:hAnsi="黑体" w:eastAsia="黑体" w:cs="黑体"/>
        </w:rPr>
      </w:pPr>
      <w:r>
        <w:rPr>
          <w:rFonts w:hint="eastAsia" w:ascii="黑体" w:hAnsi="黑体" w:eastAsia="黑体" w:cs="黑体"/>
        </w:rPr>
        <w:t xml:space="preserve">5.1 </w:t>
      </w:r>
      <w:bookmarkStart w:id="14" w:name="_Hlk184316252"/>
      <w:r>
        <w:rPr>
          <w:rFonts w:hint="eastAsia" w:ascii="黑体" w:hAnsi="黑体" w:eastAsia="黑体" w:cs="黑体"/>
        </w:rPr>
        <w:t>试验处理</w:t>
      </w:r>
      <w:bookmarkEnd w:id="14"/>
    </w:p>
    <w:p w14:paraId="1B19ADE3">
      <w:pPr>
        <w:pStyle w:val="12"/>
        <w:ind w:left="0" w:leftChars="0"/>
      </w:pPr>
      <w:r>
        <w:t>应设置</w:t>
      </w:r>
      <w:bookmarkStart w:id="15" w:name="_Hlk184316299"/>
      <w:r>
        <w:t>试验药剂、对照药剂和空白对照等处理</w:t>
      </w:r>
      <w:bookmarkEnd w:id="15"/>
      <w:r>
        <w:t>。</w:t>
      </w:r>
    </w:p>
    <w:p w14:paraId="4FF82C5D">
      <w:pPr>
        <w:adjustRightInd w:val="0"/>
        <w:snapToGrid w:val="0"/>
        <w:spacing w:line="360" w:lineRule="auto"/>
        <w:rPr>
          <w:rFonts w:hint="eastAsia" w:ascii="黑体" w:hAnsi="黑体" w:eastAsia="黑体" w:cs="黑体"/>
        </w:rPr>
      </w:pPr>
      <w:r>
        <w:rPr>
          <w:rFonts w:hint="eastAsia" w:ascii="黑体" w:hAnsi="黑体" w:eastAsia="黑体" w:cs="黑体"/>
        </w:rPr>
        <w:t>5.2药剂</w:t>
      </w:r>
    </w:p>
    <w:p w14:paraId="7ECABCA1">
      <w:pPr>
        <w:adjustRightInd w:val="0"/>
        <w:snapToGrid w:val="0"/>
        <w:spacing w:line="360" w:lineRule="auto"/>
        <w:rPr>
          <w:rFonts w:hint="eastAsia" w:ascii="黑体" w:hAnsi="黑体" w:eastAsia="黑体" w:cs="黑体"/>
        </w:rPr>
      </w:pPr>
      <w:r>
        <w:rPr>
          <w:rFonts w:hint="eastAsia" w:ascii="黑体" w:hAnsi="黑体" w:eastAsia="黑体" w:cs="黑体"/>
        </w:rPr>
        <w:t>5.2.1试验药剂</w:t>
      </w:r>
    </w:p>
    <w:p w14:paraId="6E581375">
      <w:pPr>
        <w:pStyle w:val="12"/>
        <w:spacing w:line="360" w:lineRule="auto"/>
        <w:ind w:left="0" w:leftChars="0" w:firstLine="424" w:firstLineChars="202"/>
      </w:pPr>
      <w:r>
        <w:t>试验药剂处理不少于3个剂量，特殊情况依据试验要求设置。注明药剂中文/英文通用名或代号、剂型、有效成分含量、生产企业、生产日期或批号、有效期等。</w:t>
      </w:r>
    </w:p>
    <w:p w14:paraId="11A83F23">
      <w:pPr>
        <w:adjustRightInd w:val="0"/>
        <w:snapToGrid w:val="0"/>
        <w:spacing w:line="360" w:lineRule="auto"/>
        <w:rPr>
          <w:rFonts w:hint="eastAsia" w:ascii="黑体" w:hAnsi="黑体" w:eastAsia="黑体" w:cs="黑体"/>
        </w:rPr>
      </w:pPr>
      <w:r>
        <w:rPr>
          <w:rFonts w:hint="eastAsia" w:ascii="黑体" w:hAnsi="黑体" w:eastAsia="黑体" w:cs="黑体"/>
        </w:rPr>
        <w:t>5.2.2对照药剂</w:t>
      </w:r>
    </w:p>
    <w:p w14:paraId="0BD8B86B">
      <w:pPr>
        <w:spacing w:line="360" w:lineRule="auto"/>
        <w:ind w:firstLine="420" w:firstLineChars="200"/>
      </w:pPr>
      <w:r>
        <w:t>对照药剂应为在实际使用中防效和安全性较好的当地常用产品，对照药剂的类型和作用方式应与试验药剂相同或相近，并使用登记剂量。试验药剂为混配制剂时，</w:t>
      </w:r>
      <w:bookmarkStart w:id="16" w:name="_Hlk184316479"/>
      <w:r>
        <w:t>还应设各有效成分单剂作为对照药剂，各单剂使用剂量、施用时间和方法应与试验药剂中相应有效成分一致。</w:t>
      </w:r>
      <w:bookmarkEnd w:id="16"/>
      <w:r>
        <w:t>特殊情况可视试验目的而定。</w:t>
      </w:r>
    </w:p>
    <w:p w14:paraId="1427A462">
      <w:pPr>
        <w:pStyle w:val="12"/>
        <w:spacing w:line="360" w:lineRule="auto"/>
        <w:ind w:left="0" w:leftChars="0"/>
      </w:pPr>
      <w:r>
        <w:t>记录对照药剂中文/英文通用名、剂型、有效成分含量、生产企业、登记证号、生产日期或批号、有效期、施用剂量等。</w:t>
      </w:r>
    </w:p>
    <w:p w14:paraId="2BA09AB8">
      <w:pPr>
        <w:adjustRightInd w:val="0"/>
        <w:snapToGrid w:val="0"/>
        <w:spacing w:line="360" w:lineRule="auto"/>
        <w:rPr>
          <w:rFonts w:hint="eastAsia" w:ascii="黑体" w:hAnsi="黑体" w:eastAsia="黑体" w:cs="黑体"/>
        </w:rPr>
      </w:pPr>
      <w:r>
        <w:rPr>
          <w:rFonts w:hint="eastAsia" w:ascii="黑体" w:hAnsi="黑体" w:eastAsia="黑体" w:cs="黑体"/>
        </w:rPr>
        <w:t>5.3空白对照</w:t>
      </w:r>
    </w:p>
    <w:p w14:paraId="4B5C5923">
      <w:pPr>
        <w:adjustRightInd w:val="0"/>
        <w:snapToGrid w:val="0"/>
        <w:spacing w:line="360" w:lineRule="auto"/>
        <w:ind w:firstLine="420" w:firstLineChars="200"/>
      </w:pPr>
      <w:r>
        <w:t>设清水处理作为空白对照。</w:t>
      </w:r>
    </w:p>
    <w:p w14:paraId="30D47AD1">
      <w:pPr>
        <w:adjustRightInd w:val="0"/>
        <w:snapToGrid w:val="0"/>
        <w:spacing w:line="360" w:lineRule="auto"/>
        <w:rPr>
          <w:rFonts w:hint="eastAsia" w:ascii="黑体" w:hAnsi="黑体" w:eastAsia="黑体" w:cs="黑体"/>
        </w:rPr>
      </w:pPr>
      <w:r>
        <w:rPr>
          <w:rFonts w:hint="eastAsia" w:ascii="黑体" w:hAnsi="黑体" w:eastAsia="黑体" w:cs="黑体"/>
        </w:rPr>
        <w:t>5.4小区安排</w:t>
      </w:r>
    </w:p>
    <w:p w14:paraId="62787B5E">
      <w:pPr>
        <w:adjustRightInd w:val="0"/>
        <w:snapToGrid w:val="0"/>
        <w:spacing w:line="360" w:lineRule="auto"/>
        <w:rPr>
          <w:rFonts w:hint="eastAsia" w:ascii="黑体" w:hAnsi="黑体" w:eastAsia="黑体" w:cs="黑体"/>
        </w:rPr>
      </w:pPr>
      <w:r>
        <w:rPr>
          <w:rFonts w:hint="eastAsia" w:ascii="黑体" w:hAnsi="黑体" w:eastAsia="黑体" w:cs="黑体"/>
        </w:rPr>
        <w:t>5.4.1小区排列</w:t>
      </w:r>
    </w:p>
    <w:p w14:paraId="43219E03">
      <w:pPr>
        <w:adjustRightInd w:val="0"/>
        <w:snapToGrid w:val="0"/>
        <w:spacing w:line="360" w:lineRule="auto"/>
        <w:ind w:firstLine="420" w:firstLineChars="200"/>
      </w:pPr>
      <w:r>
        <w:t>试验药剂、对照药剂和空白对照的小区处理采用随机区组排列，</w:t>
      </w:r>
      <w:r>
        <w:rPr>
          <w:rFonts w:hint="eastAsia"/>
        </w:rPr>
        <w:t>小区间设置保护行或隔离带。记录小区排列图。</w:t>
      </w:r>
      <w:r>
        <w:t>特殊情况</w:t>
      </w:r>
      <w:r>
        <w:rPr>
          <w:rFonts w:hint="eastAsia"/>
        </w:rPr>
        <w:t>须</w:t>
      </w:r>
      <w:r>
        <w:t>加以说明。</w:t>
      </w:r>
    </w:p>
    <w:p w14:paraId="7BB7C343">
      <w:pPr>
        <w:adjustRightInd w:val="0"/>
        <w:snapToGrid w:val="0"/>
        <w:spacing w:line="360" w:lineRule="auto"/>
        <w:rPr>
          <w:rFonts w:hint="eastAsia" w:ascii="黑体" w:hAnsi="黑体" w:eastAsia="黑体" w:cs="黑体"/>
        </w:rPr>
      </w:pPr>
      <w:r>
        <w:rPr>
          <w:rFonts w:hint="eastAsia" w:ascii="黑体" w:hAnsi="黑体" w:eastAsia="黑体" w:cs="黑体"/>
        </w:rPr>
        <w:t>5.4.2小区面积和重复</w:t>
      </w:r>
    </w:p>
    <w:p w14:paraId="53CAC9F0">
      <w:pPr>
        <w:adjustRightInd w:val="0"/>
        <w:snapToGrid w:val="0"/>
        <w:spacing w:line="360" w:lineRule="auto"/>
        <w:ind w:firstLine="420" w:firstLineChars="200"/>
      </w:pPr>
      <w:r>
        <w:t>小区面积：20 m</w:t>
      </w:r>
      <w:r>
        <w:rPr>
          <w:vertAlign w:val="superscript"/>
        </w:rPr>
        <w:t>2</w:t>
      </w:r>
      <w:r>
        <w:t>～50 m</w:t>
      </w:r>
      <w:r>
        <w:rPr>
          <w:vertAlign w:val="superscript"/>
        </w:rPr>
        <w:t>2</w:t>
      </w:r>
      <w:r>
        <w:t>。</w:t>
      </w:r>
    </w:p>
    <w:p w14:paraId="25B1EBE8">
      <w:pPr>
        <w:adjustRightInd w:val="0"/>
        <w:snapToGrid w:val="0"/>
        <w:spacing w:line="360" w:lineRule="auto"/>
        <w:ind w:firstLine="420" w:firstLineChars="200"/>
      </w:pPr>
      <w:r>
        <w:t>重复次数：</w:t>
      </w:r>
      <w:r>
        <w:rPr>
          <w:rFonts w:hint="eastAsia"/>
        </w:rPr>
        <w:t>至少</w:t>
      </w:r>
      <w:r>
        <w:t>4次。</w:t>
      </w:r>
    </w:p>
    <w:p w14:paraId="35B3F674">
      <w:pPr>
        <w:adjustRightInd w:val="0"/>
        <w:snapToGrid w:val="0"/>
        <w:spacing w:line="360" w:lineRule="auto"/>
        <w:rPr>
          <w:rFonts w:hint="eastAsia" w:ascii="黑体" w:hAnsi="黑体" w:eastAsia="黑体" w:cs="黑体"/>
        </w:rPr>
      </w:pPr>
      <w:r>
        <w:rPr>
          <w:rFonts w:hint="eastAsia" w:ascii="黑体" w:hAnsi="黑体" w:eastAsia="黑体" w:cs="黑体"/>
        </w:rPr>
        <w:t>6施药</w:t>
      </w:r>
    </w:p>
    <w:p w14:paraId="54028B71">
      <w:pPr>
        <w:adjustRightInd w:val="0"/>
        <w:snapToGrid w:val="0"/>
        <w:spacing w:line="360" w:lineRule="auto"/>
        <w:rPr>
          <w:rFonts w:hint="eastAsia" w:ascii="黑体" w:hAnsi="黑体" w:eastAsia="黑体" w:cs="黑体"/>
        </w:rPr>
      </w:pPr>
      <w:r>
        <w:rPr>
          <w:rFonts w:hint="eastAsia" w:ascii="黑体" w:hAnsi="黑体" w:eastAsia="黑体" w:cs="黑体"/>
        </w:rPr>
        <w:t>6.1施药方法</w:t>
      </w:r>
    </w:p>
    <w:p w14:paraId="00AC5CF3">
      <w:pPr>
        <w:adjustRightInd w:val="0"/>
        <w:snapToGrid w:val="0"/>
        <w:spacing w:line="360" w:lineRule="auto"/>
        <w:ind w:firstLine="420" w:firstLineChars="200"/>
      </w:pPr>
      <w:r>
        <w:t>按试验要求和标签说明进行，施药方法要符合当地科学的农业生产实际。</w:t>
      </w:r>
      <w:bookmarkStart w:id="17" w:name="_Hlk21425619"/>
    </w:p>
    <w:bookmarkEnd w:id="17"/>
    <w:p w14:paraId="6F768328">
      <w:pPr>
        <w:adjustRightInd w:val="0"/>
        <w:snapToGrid w:val="0"/>
        <w:spacing w:line="360" w:lineRule="auto"/>
        <w:rPr>
          <w:rFonts w:hint="eastAsia" w:ascii="黑体" w:hAnsi="黑体" w:eastAsia="黑体" w:cs="黑体"/>
        </w:rPr>
      </w:pPr>
      <w:r>
        <w:rPr>
          <w:rFonts w:hint="eastAsia" w:ascii="黑体" w:hAnsi="黑体" w:eastAsia="黑体" w:cs="黑体"/>
        </w:rPr>
        <w:t>6.2施药器械</w:t>
      </w:r>
    </w:p>
    <w:p w14:paraId="20638639">
      <w:pPr>
        <w:adjustRightInd w:val="0"/>
        <w:snapToGrid w:val="0"/>
        <w:spacing w:line="360" w:lineRule="auto"/>
        <w:ind w:firstLine="420" w:firstLineChars="200"/>
      </w:pPr>
      <w:r>
        <w:t>选用生产中常用的器械，或按试验要求选择器械。</w:t>
      </w:r>
    </w:p>
    <w:p w14:paraId="7D421F86">
      <w:pPr>
        <w:adjustRightInd w:val="0"/>
        <w:snapToGrid w:val="0"/>
        <w:spacing w:line="360" w:lineRule="auto"/>
        <w:ind w:firstLine="420" w:firstLineChars="200"/>
      </w:pPr>
      <w:r>
        <w:t>喷雾器械</w:t>
      </w:r>
      <w:r>
        <w:rPr>
          <w:rFonts w:hint="eastAsia"/>
        </w:rPr>
        <w:t>须</w:t>
      </w:r>
      <w:r>
        <w:t>记录所用器械的类型和操作条件（如工作压力、喷头类型、喷孔口径）的全部资料。</w:t>
      </w:r>
      <w:bookmarkStart w:id="18" w:name="_Hlk21527904"/>
    </w:p>
    <w:bookmarkEnd w:id="18"/>
    <w:p w14:paraId="0164D793">
      <w:pPr>
        <w:adjustRightInd w:val="0"/>
        <w:snapToGrid w:val="0"/>
        <w:spacing w:line="360" w:lineRule="auto"/>
        <w:rPr>
          <w:rFonts w:hint="eastAsia" w:ascii="黑体" w:hAnsi="黑体" w:eastAsia="黑体" w:cs="黑体"/>
        </w:rPr>
      </w:pPr>
      <w:r>
        <w:rPr>
          <w:rFonts w:hint="eastAsia" w:ascii="黑体" w:hAnsi="黑体" w:eastAsia="黑体" w:cs="黑体"/>
        </w:rPr>
        <w:t>6.3施药时间和次数</w:t>
      </w:r>
    </w:p>
    <w:p w14:paraId="14AECE9D">
      <w:pPr>
        <w:adjustRightInd w:val="0"/>
        <w:snapToGrid w:val="0"/>
        <w:spacing w:line="360" w:lineRule="auto"/>
        <w:ind w:firstLine="420" w:firstLineChars="200"/>
      </w:pPr>
      <w:r>
        <w:t>按试验要求及标签说明确定施药时间和次数。</w:t>
      </w:r>
      <w:r>
        <w:rPr>
          <w:rFonts w:hint="eastAsia"/>
        </w:rPr>
        <w:t>宜</w:t>
      </w:r>
      <w:r>
        <w:t>在大豆幼苗期或幼荚期，病害发生前或发病初期第一次施药</w:t>
      </w:r>
      <w:r>
        <w:rPr>
          <w:kern w:val="0"/>
          <w:u w:val="wave" w:color="FF0000"/>
        </w:rPr>
        <w:t>。</w:t>
      </w:r>
      <w:r>
        <w:t>施药间隔时间视病害发展及药剂的持效期来定，</w:t>
      </w:r>
      <w:bookmarkStart w:id="19" w:name="_Hlk20751160"/>
      <w:r>
        <w:t>记录施药次数</w:t>
      </w:r>
      <w:r>
        <w:rPr>
          <w:rFonts w:hint="eastAsia"/>
        </w:rPr>
        <w:t>、</w:t>
      </w:r>
      <w:r>
        <w:t>每次施药的日期及作物的生育期。</w:t>
      </w:r>
      <w:bookmarkEnd w:id="19"/>
    </w:p>
    <w:p w14:paraId="113916F6">
      <w:pPr>
        <w:adjustRightInd w:val="0"/>
        <w:snapToGrid w:val="0"/>
        <w:spacing w:line="360" w:lineRule="auto"/>
        <w:rPr>
          <w:rFonts w:hint="eastAsia" w:ascii="黑体" w:hAnsi="黑体" w:eastAsia="黑体" w:cs="黑体"/>
        </w:rPr>
      </w:pPr>
      <w:r>
        <w:rPr>
          <w:rFonts w:hint="eastAsia" w:ascii="黑体" w:hAnsi="黑体" w:eastAsia="黑体" w:cs="黑体"/>
        </w:rPr>
        <w:t>6.4使用剂量和容量</w:t>
      </w:r>
    </w:p>
    <w:p w14:paraId="563283A4">
      <w:pPr>
        <w:adjustRightInd w:val="0"/>
        <w:snapToGrid w:val="0"/>
        <w:spacing w:line="360" w:lineRule="auto"/>
        <w:ind w:firstLine="420" w:firstLineChars="200"/>
      </w:pPr>
      <w:r>
        <w:t>按试验要求及标签注明的施药剂量进行施药，通常药剂的剂量以有效成分用量g/hm</w:t>
      </w:r>
      <w:r>
        <w:rPr>
          <w:vertAlign w:val="superscript"/>
        </w:rPr>
        <w:t>2</w:t>
      </w:r>
      <w:r>
        <w:t>表示。用水量以L/hm</w:t>
      </w:r>
      <w:r>
        <w:rPr>
          <w:vertAlign w:val="superscript"/>
        </w:rPr>
        <w:t>2</w:t>
      </w:r>
      <w:r>
        <w:t>表示，试验要求中未说明用水量时，可根据试验药剂的作用方式、喷雾器类型，并结合生育期、种植密度等确定用水量。记录用水量、用药</w:t>
      </w:r>
      <w:r>
        <w:rPr>
          <w:rFonts w:hint="eastAsia"/>
        </w:rPr>
        <w:t>剂量</w:t>
      </w:r>
      <w:r>
        <w:t>。施药应保证药量准确、分布均匀。用药量偏差不宜超过±10%，如超过±10%</w:t>
      </w:r>
      <w:r>
        <w:rPr>
          <w:rFonts w:hint="eastAsia"/>
        </w:rPr>
        <w:t>须</w:t>
      </w:r>
      <w:r>
        <w:t>记录并评估其影响。</w:t>
      </w:r>
    </w:p>
    <w:p w14:paraId="6AF10979">
      <w:pPr>
        <w:adjustRightInd w:val="0"/>
        <w:snapToGrid w:val="0"/>
        <w:spacing w:line="360" w:lineRule="auto"/>
        <w:rPr>
          <w:rFonts w:hint="eastAsia" w:ascii="黑体" w:hAnsi="黑体" w:eastAsia="黑体" w:cs="黑体"/>
        </w:rPr>
      </w:pPr>
      <w:r>
        <w:rPr>
          <w:rFonts w:hint="eastAsia" w:ascii="黑体" w:hAnsi="黑体" w:eastAsia="黑体" w:cs="黑体"/>
        </w:rPr>
        <w:t>6.5防治非靶标病虫草害的药剂要求</w:t>
      </w:r>
    </w:p>
    <w:p w14:paraId="3C0555DA">
      <w:pPr>
        <w:adjustRightInd w:val="0"/>
        <w:snapToGrid w:val="0"/>
        <w:spacing w:line="360" w:lineRule="auto"/>
        <w:ind w:firstLine="420" w:firstLineChars="200"/>
      </w:pPr>
      <w:r>
        <w:t>如使用其他药剂，应选择对试验药剂和试验对象无影响的药剂，并对所有的小区进行均一处理，而且应与试验药剂和对照药剂分开使用，使这些药剂的干扰控制在最低程度。记录其施用的准确信息（如药剂中文或英文通用名、有效成分含量、剂型、生产企业、施用剂量、施用方式、施用时间、防治对象等）。</w:t>
      </w:r>
    </w:p>
    <w:p w14:paraId="33BB5F71">
      <w:pPr>
        <w:adjustRightInd w:val="0"/>
        <w:snapToGrid w:val="0"/>
        <w:spacing w:line="360" w:lineRule="auto"/>
        <w:rPr>
          <w:rFonts w:hint="eastAsia" w:ascii="黑体" w:hAnsi="黑体" w:eastAsia="黑体" w:cs="黑体"/>
        </w:rPr>
      </w:pPr>
      <w:r>
        <w:rPr>
          <w:rFonts w:hint="eastAsia" w:ascii="黑体" w:hAnsi="黑体" w:eastAsia="黑体" w:cs="黑体"/>
        </w:rPr>
        <w:t>7调查</w:t>
      </w:r>
    </w:p>
    <w:p w14:paraId="36494453">
      <w:pPr>
        <w:adjustRightInd w:val="0"/>
        <w:snapToGrid w:val="0"/>
        <w:spacing w:line="360" w:lineRule="auto"/>
        <w:rPr>
          <w:rFonts w:hint="eastAsia" w:ascii="黑体" w:hAnsi="黑体" w:eastAsia="黑体" w:cs="黑体"/>
        </w:rPr>
      </w:pPr>
      <w:r>
        <w:rPr>
          <w:rFonts w:hint="eastAsia" w:ascii="黑体" w:hAnsi="黑体" w:eastAsia="黑体" w:cs="黑体"/>
        </w:rPr>
        <w:t>7.1防效调查</w:t>
      </w:r>
    </w:p>
    <w:p w14:paraId="33CEE890">
      <w:pPr>
        <w:adjustRightInd w:val="0"/>
        <w:snapToGrid w:val="0"/>
        <w:spacing w:line="360" w:lineRule="auto"/>
        <w:rPr>
          <w:rFonts w:hint="eastAsia" w:ascii="黑体" w:hAnsi="黑体" w:eastAsia="黑体" w:cs="黑体"/>
        </w:rPr>
      </w:pPr>
      <w:r>
        <w:rPr>
          <w:rFonts w:hint="eastAsia" w:ascii="黑体" w:hAnsi="黑体" w:eastAsia="黑体" w:cs="黑体"/>
        </w:rPr>
        <w:t>7.1.1调查方法</w:t>
      </w:r>
    </w:p>
    <w:p w14:paraId="62456B6E">
      <w:pPr>
        <w:adjustRightInd w:val="0"/>
        <w:snapToGrid w:val="0"/>
        <w:spacing w:line="360" w:lineRule="auto"/>
        <w:ind w:firstLine="420" w:firstLineChars="200"/>
      </w:pPr>
      <w:r>
        <w:rPr>
          <w:rFonts w:hint="eastAsia"/>
        </w:rPr>
        <w:t>苗期炭疽病</w:t>
      </w:r>
      <w:r>
        <w:t>每小区五点随机取样，每点调查</w:t>
      </w:r>
      <w:r>
        <w:rPr>
          <w:rFonts w:hint="eastAsia"/>
        </w:rPr>
        <w:t>不少于50</w:t>
      </w:r>
      <w:r>
        <w:t>株。记录调查总</w:t>
      </w:r>
      <w:r>
        <w:rPr>
          <w:rFonts w:hint="eastAsia"/>
        </w:rPr>
        <w:t>株</w:t>
      </w:r>
      <w:r>
        <w:t>数，</w:t>
      </w:r>
      <w:r>
        <w:rPr>
          <w:rFonts w:hint="eastAsia"/>
        </w:rPr>
        <w:t>发</w:t>
      </w:r>
      <w:r>
        <w:t>病</w:t>
      </w:r>
      <w:r>
        <w:rPr>
          <w:rFonts w:hint="eastAsia"/>
        </w:rPr>
        <w:t>株</w:t>
      </w:r>
      <w:r>
        <w:t>数。</w:t>
      </w:r>
    </w:p>
    <w:p w14:paraId="23BCAFEF">
      <w:pPr>
        <w:adjustRightInd w:val="0"/>
        <w:snapToGrid w:val="0"/>
        <w:spacing w:line="360" w:lineRule="auto"/>
        <w:ind w:firstLine="420" w:firstLineChars="200"/>
      </w:pPr>
      <w:r>
        <w:rPr>
          <w:rFonts w:hint="eastAsia"/>
        </w:rPr>
        <w:t>豆荚期炭疽病</w:t>
      </w:r>
      <w:r>
        <w:t>每小区五点随机取样，每点调查</w:t>
      </w:r>
      <w:r>
        <w:rPr>
          <w:rFonts w:hint="eastAsia"/>
        </w:rPr>
        <w:t>3</w:t>
      </w:r>
      <w:r>
        <w:t>～</w:t>
      </w:r>
      <w:r>
        <w:rPr>
          <w:rFonts w:hint="eastAsia"/>
        </w:rPr>
        <w:t>5</w:t>
      </w:r>
      <w:r>
        <w:t>株，每株调查所有豆荚。记录调查豆荚总数</w:t>
      </w:r>
      <w:r>
        <w:rPr>
          <w:rFonts w:hint="eastAsia"/>
        </w:rPr>
        <w:t>和</w:t>
      </w:r>
      <w:r>
        <w:t>各级病荚数。</w:t>
      </w:r>
    </w:p>
    <w:p w14:paraId="18B63294">
      <w:pPr>
        <w:adjustRightInd w:val="0"/>
        <w:snapToGrid w:val="0"/>
        <w:spacing w:line="360" w:lineRule="auto"/>
        <w:ind w:firstLine="420" w:firstLineChars="200"/>
      </w:pPr>
      <w:r>
        <w:t>分级标准：</w:t>
      </w:r>
    </w:p>
    <w:p w14:paraId="20BF0792">
      <w:pPr>
        <w:adjustRightInd w:val="0"/>
        <w:snapToGrid w:val="0"/>
        <w:spacing w:line="360" w:lineRule="auto"/>
        <w:ind w:firstLine="420" w:firstLineChars="200"/>
      </w:pPr>
      <w:bookmarkStart w:id="20" w:name="_Hlk20751798"/>
      <w:r>
        <w:t>0级：豆荚无症状；</w:t>
      </w:r>
    </w:p>
    <w:p w14:paraId="5B924188">
      <w:pPr>
        <w:adjustRightInd w:val="0"/>
        <w:snapToGrid w:val="0"/>
        <w:spacing w:line="360" w:lineRule="auto"/>
        <w:ind w:firstLine="420" w:firstLineChars="200"/>
      </w:pPr>
      <w:r>
        <w:t>1级：豆荚上病斑面积占整个豆荚面积的5%以下；</w:t>
      </w:r>
    </w:p>
    <w:p w14:paraId="14E8E1EA">
      <w:pPr>
        <w:adjustRightInd w:val="0"/>
        <w:snapToGrid w:val="0"/>
        <w:spacing w:line="360" w:lineRule="auto"/>
        <w:ind w:firstLine="420" w:firstLineChars="200"/>
      </w:pPr>
      <w:r>
        <w:t>3级：豆荚上病斑面积占整个豆荚面积的6%～10%；</w:t>
      </w:r>
    </w:p>
    <w:p w14:paraId="452F89E0">
      <w:pPr>
        <w:adjustRightInd w:val="0"/>
        <w:snapToGrid w:val="0"/>
        <w:spacing w:line="360" w:lineRule="auto"/>
        <w:ind w:firstLine="420" w:firstLineChars="200"/>
      </w:pPr>
      <w:r>
        <w:t>5级：豆荚上病斑面积占整个豆荚面积的11%～25%；</w:t>
      </w:r>
    </w:p>
    <w:p w14:paraId="4BC9353C">
      <w:pPr>
        <w:adjustRightInd w:val="0"/>
        <w:snapToGrid w:val="0"/>
        <w:spacing w:line="360" w:lineRule="auto"/>
        <w:ind w:firstLine="420" w:firstLineChars="200"/>
      </w:pPr>
      <w:r>
        <w:t>7级：豆荚上病斑面积占整个豆荚面积的26%～50%；</w:t>
      </w:r>
    </w:p>
    <w:p w14:paraId="010C16FE">
      <w:pPr>
        <w:pStyle w:val="62"/>
        <w:adjustRightInd w:val="0"/>
        <w:snapToGrid w:val="0"/>
        <w:spacing w:line="360" w:lineRule="auto"/>
        <w:rPr>
          <w:rFonts w:ascii="Times New Roman" w:hAnsi="Times New Roman" w:eastAsia="宋体"/>
          <w:szCs w:val="24"/>
        </w:rPr>
      </w:pPr>
      <w:r>
        <w:rPr>
          <w:rFonts w:ascii="Times New Roman" w:hAnsi="Times New Roman" w:eastAsia="宋体"/>
          <w:szCs w:val="24"/>
        </w:rPr>
        <w:t>9级</w:t>
      </w:r>
      <w:r>
        <w:rPr>
          <w:rFonts w:ascii="Times New Roman" w:hAnsi="Times New Roman" w:eastAsia="宋体"/>
        </w:rPr>
        <w:t>：</w:t>
      </w:r>
      <w:r>
        <w:rPr>
          <w:rFonts w:ascii="Times New Roman" w:hAnsi="Times New Roman" w:eastAsia="宋体"/>
          <w:szCs w:val="21"/>
        </w:rPr>
        <w:t>豆荚上病斑面积占整个豆荚面积的51%以上</w:t>
      </w:r>
      <w:r>
        <w:rPr>
          <w:rFonts w:ascii="Times New Roman" w:hAnsi="Times New Roman" w:eastAsia="宋体"/>
          <w:szCs w:val="24"/>
        </w:rPr>
        <w:t>。</w:t>
      </w:r>
    </w:p>
    <w:bookmarkEnd w:id="20"/>
    <w:p w14:paraId="47DAB9BB">
      <w:pPr>
        <w:adjustRightInd w:val="0"/>
        <w:snapToGrid w:val="0"/>
        <w:spacing w:line="360" w:lineRule="auto"/>
        <w:rPr>
          <w:rFonts w:hint="eastAsia" w:ascii="黑体" w:hAnsi="黑体" w:eastAsia="黑体" w:cs="黑体"/>
        </w:rPr>
      </w:pPr>
      <w:bookmarkStart w:id="21" w:name="_Hlk20753102"/>
      <w:r>
        <w:rPr>
          <w:rFonts w:hint="eastAsia" w:ascii="黑体" w:hAnsi="黑体" w:eastAsia="黑体" w:cs="黑体"/>
        </w:rPr>
        <w:t>7.1.2调查时间和次数</w:t>
      </w:r>
    </w:p>
    <w:bookmarkEnd w:id="21"/>
    <w:p w14:paraId="339978B2">
      <w:pPr>
        <w:adjustRightInd w:val="0"/>
        <w:snapToGrid w:val="0"/>
        <w:spacing w:line="360" w:lineRule="auto"/>
        <w:ind w:firstLine="420" w:firstLineChars="200"/>
      </w:pPr>
      <w:bookmarkStart w:id="22" w:name="_Hlk20751932"/>
      <w:r>
        <w:t>依据病害发展情况和试验要求决定调查时间和次数。</w:t>
      </w:r>
    </w:p>
    <w:p w14:paraId="6121F07A">
      <w:pPr>
        <w:adjustRightInd w:val="0"/>
        <w:snapToGrid w:val="0"/>
        <w:spacing w:line="360" w:lineRule="auto"/>
        <w:ind w:firstLine="420" w:firstLineChars="200"/>
      </w:pPr>
      <w:r>
        <w:t>第一次施药前调查病情基数，如施药时还未发病，</w:t>
      </w:r>
      <w:r>
        <w:rPr>
          <w:rFonts w:hint="eastAsia"/>
        </w:rPr>
        <w:t>须</w:t>
      </w:r>
      <w:r>
        <w:t>做好记录，下次施药前和末次施药后7 d～14 d调查防治效果，持效期长的药剂，可继续调查或根据试验要求确定。</w:t>
      </w:r>
    </w:p>
    <w:p w14:paraId="2D142243">
      <w:pPr>
        <w:adjustRightInd w:val="0"/>
        <w:snapToGrid w:val="0"/>
        <w:spacing w:line="360" w:lineRule="auto"/>
        <w:ind w:firstLine="420" w:firstLineChars="200"/>
      </w:pPr>
      <w:r>
        <w:t>鲜食大豆应在鼓粒末期前完成调查；非鲜食大豆应在豆荚转色前完成调查。</w:t>
      </w:r>
    </w:p>
    <w:bookmarkEnd w:id="22"/>
    <w:p w14:paraId="787335C9">
      <w:pPr>
        <w:adjustRightInd w:val="0"/>
        <w:snapToGrid w:val="0"/>
        <w:spacing w:line="360" w:lineRule="auto"/>
        <w:rPr>
          <w:kern w:val="0"/>
        </w:rPr>
      </w:pPr>
      <w:r>
        <w:rPr>
          <w:kern w:val="0"/>
        </w:rPr>
        <w:t>7.2对作物的直接影响</w:t>
      </w:r>
    </w:p>
    <w:p w14:paraId="76E34ADD">
      <w:pPr>
        <w:adjustRightInd w:val="0"/>
        <w:snapToGrid w:val="0"/>
        <w:spacing w:line="360" w:lineRule="auto"/>
        <w:ind w:firstLine="420" w:firstLineChars="200"/>
      </w:pPr>
      <w:r>
        <w:t>观察作物是否有药害产生，如有药害，记录药害类型和程度。此外，要求记录对作物的其他有益影响（如刺激生长、促进成熟等）。</w:t>
      </w:r>
    </w:p>
    <w:p w14:paraId="08BC0164">
      <w:pPr>
        <w:adjustRightInd w:val="0"/>
        <w:snapToGrid w:val="0"/>
        <w:spacing w:line="360" w:lineRule="auto"/>
        <w:ind w:firstLine="420" w:firstLineChars="200"/>
      </w:pPr>
      <w:r>
        <w:t>用以下方法记录药害：</w:t>
      </w:r>
    </w:p>
    <w:p w14:paraId="2F8E0B9B">
      <w:pPr>
        <w:numPr>
          <w:ilvl w:val="0"/>
          <w:numId w:val="4"/>
        </w:numPr>
        <w:adjustRightInd w:val="0"/>
        <w:snapToGrid w:val="0"/>
        <w:spacing w:line="360" w:lineRule="auto"/>
        <w:ind w:firstLine="420" w:firstLineChars="200"/>
      </w:pPr>
      <w:r>
        <w:t>如果药害能被测量或计算，要用绝对数值表示，如株高</w:t>
      </w:r>
      <w:r>
        <w:rPr>
          <w:rFonts w:hint="eastAsia"/>
        </w:rPr>
        <w:t>、叶片数等</w:t>
      </w:r>
      <w:r>
        <w:t>。</w:t>
      </w:r>
    </w:p>
    <w:p w14:paraId="77600E93">
      <w:pPr>
        <w:numPr>
          <w:ilvl w:val="0"/>
          <w:numId w:val="4"/>
        </w:numPr>
        <w:adjustRightInd w:val="0"/>
        <w:snapToGrid w:val="0"/>
        <w:spacing w:line="360" w:lineRule="auto"/>
        <w:ind w:firstLine="420" w:firstLineChars="200"/>
      </w:pPr>
      <w:r>
        <w:t>在其他情况下，可按下列2种方法估计药害的程度和频率：</w:t>
      </w:r>
    </w:p>
    <w:p w14:paraId="3B1C125E">
      <w:pPr>
        <w:numPr>
          <w:ilvl w:val="0"/>
          <w:numId w:val="5"/>
        </w:numPr>
        <w:adjustRightInd w:val="0"/>
        <w:snapToGrid w:val="0"/>
        <w:spacing w:line="360" w:lineRule="auto"/>
        <w:ind w:firstLine="840" w:firstLineChars="400"/>
      </w:pPr>
      <w:r>
        <w:t>按照药害分级方法记录每小区的药害情况，以－、+、++、+++、++++表示。</w:t>
      </w:r>
    </w:p>
    <w:p w14:paraId="3EF96874">
      <w:pPr>
        <w:adjustRightInd w:val="0"/>
        <w:snapToGrid w:val="0"/>
        <w:spacing w:line="360" w:lineRule="auto"/>
        <w:ind w:firstLine="840" w:firstLineChars="400"/>
      </w:pPr>
      <w:r>
        <w:t>药害分级方法：</w:t>
      </w:r>
    </w:p>
    <w:p w14:paraId="01290ED9">
      <w:pPr>
        <w:adjustRightInd w:val="0"/>
        <w:snapToGrid w:val="0"/>
        <w:spacing w:line="360" w:lineRule="auto"/>
        <w:ind w:firstLine="840" w:firstLineChars="400"/>
      </w:pPr>
      <w:r>
        <w:t>—：无药害；</w:t>
      </w:r>
    </w:p>
    <w:p w14:paraId="1F2B531B">
      <w:pPr>
        <w:adjustRightInd w:val="0"/>
        <w:snapToGrid w:val="0"/>
        <w:spacing w:line="360" w:lineRule="auto"/>
        <w:ind w:firstLine="840" w:firstLineChars="400"/>
      </w:pPr>
      <w:r>
        <w:t>+：轻度药害，不影响作物正常生长；</w:t>
      </w:r>
    </w:p>
    <w:p w14:paraId="5C1FF618">
      <w:pPr>
        <w:adjustRightInd w:val="0"/>
        <w:snapToGrid w:val="0"/>
        <w:spacing w:line="360" w:lineRule="auto"/>
        <w:ind w:firstLine="840" w:firstLineChars="400"/>
      </w:pPr>
      <w:r>
        <w:t>++：中度药害，可</w:t>
      </w:r>
      <w:r>
        <w:rPr>
          <w:rFonts w:hint="eastAsia"/>
        </w:rPr>
        <w:t>恢复</w:t>
      </w:r>
      <w:r>
        <w:t>，不会造成作物严重损伤或者减产；</w:t>
      </w:r>
    </w:p>
    <w:p w14:paraId="5130E068">
      <w:pPr>
        <w:adjustRightInd w:val="0"/>
        <w:snapToGrid w:val="0"/>
        <w:spacing w:line="360" w:lineRule="auto"/>
        <w:ind w:firstLine="840" w:firstLineChars="400"/>
      </w:pPr>
      <w:r>
        <w:t>+++：重度药害，影响作物正常生长，对作物产量和质量有一定影响；</w:t>
      </w:r>
    </w:p>
    <w:p w14:paraId="5B1DC44E">
      <w:pPr>
        <w:adjustRightInd w:val="0"/>
        <w:snapToGrid w:val="0"/>
        <w:spacing w:line="360" w:lineRule="auto"/>
        <w:ind w:firstLine="840" w:firstLineChars="400"/>
      </w:pPr>
      <w:r>
        <w:t>++++：严重药害，严重影响作物生长，产量和质量损失严重。</w:t>
      </w:r>
    </w:p>
    <w:p w14:paraId="2000CBF7">
      <w:pPr>
        <w:numPr>
          <w:ilvl w:val="0"/>
          <w:numId w:val="5"/>
        </w:numPr>
        <w:adjustRightInd w:val="0"/>
        <w:snapToGrid w:val="0"/>
        <w:spacing w:line="360" w:lineRule="auto"/>
        <w:ind w:firstLine="840" w:firstLineChars="400"/>
      </w:pPr>
      <w:r>
        <w:t>将药剂处理区与空白对照区比较，评价药害的百分率。同时要准确描述作物的药害症状（矮化、褪绿、畸形、瘪粒率等），并提供实物照片或视频录像等资料。</w:t>
      </w:r>
    </w:p>
    <w:p w14:paraId="599D7E39">
      <w:pPr>
        <w:adjustRightInd w:val="0"/>
        <w:snapToGrid w:val="0"/>
        <w:spacing w:line="360" w:lineRule="auto"/>
        <w:rPr>
          <w:rFonts w:hint="eastAsia" w:ascii="黑体" w:hAnsi="黑体" w:eastAsia="黑体" w:cs="黑体"/>
        </w:rPr>
      </w:pPr>
      <w:r>
        <w:rPr>
          <w:rFonts w:hint="eastAsia" w:ascii="黑体" w:hAnsi="黑体" w:eastAsia="黑体" w:cs="黑体"/>
        </w:rPr>
        <w:t>7.3对其他生物的影响</w:t>
      </w:r>
    </w:p>
    <w:p w14:paraId="0A003317">
      <w:pPr>
        <w:adjustRightInd w:val="0"/>
        <w:snapToGrid w:val="0"/>
        <w:spacing w:line="360" w:lineRule="auto"/>
        <w:rPr>
          <w:rFonts w:hint="eastAsia" w:ascii="黑体" w:hAnsi="黑体" w:eastAsia="黑体" w:cs="黑体"/>
        </w:rPr>
      </w:pPr>
      <w:r>
        <w:rPr>
          <w:rFonts w:hint="eastAsia" w:ascii="黑体" w:hAnsi="黑体" w:eastAsia="黑体" w:cs="黑体"/>
        </w:rPr>
        <w:t>7.3.1对其他病害的影响</w:t>
      </w:r>
    </w:p>
    <w:p w14:paraId="44B4BFCA">
      <w:pPr>
        <w:adjustRightInd w:val="0"/>
        <w:snapToGrid w:val="0"/>
        <w:spacing w:line="360" w:lineRule="auto"/>
        <w:ind w:firstLine="420" w:firstLineChars="200"/>
      </w:pPr>
      <w:r>
        <w:t>对其他病害产生任何一种影响均应记录，包括有益或有害的影响。</w:t>
      </w:r>
    </w:p>
    <w:p w14:paraId="652E7854">
      <w:pPr>
        <w:adjustRightInd w:val="0"/>
        <w:snapToGrid w:val="0"/>
        <w:spacing w:line="360" w:lineRule="auto"/>
        <w:rPr>
          <w:rFonts w:hint="eastAsia" w:ascii="黑体" w:hAnsi="黑体" w:eastAsia="黑体" w:cs="黑体"/>
        </w:rPr>
      </w:pPr>
      <w:r>
        <w:rPr>
          <w:rFonts w:hint="eastAsia" w:ascii="黑体" w:hAnsi="黑体" w:eastAsia="黑体" w:cs="黑体"/>
        </w:rPr>
        <w:t>7.3.2对其他非靶标生物的影响</w:t>
      </w:r>
    </w:p>
    <w:p w14:paraId="42CB2773">
      <w:pPr>
        <w:adjustRightInd w:val="0"/>
        <w:snapToGrid w:val="0"/>
        <w:spacing w:line="360" w:lineRule="auto"/>
        <w:ind w:firstLine="420" w:firstLineChars="200"/>
      </w:pPr>
      <w:r>
        <w:t>记录药剂对试验区内有益昆虫及其他非靶标生物的影响。</w:t>
      </w:r>
    </w:p>
    <w:p w14:paraId="06B54710">
      <w:pPr>
        <w:adjustRightInd w:val="0"/>
        <w:snapToGrid w:val="0"/>
        <w:spacing w:line="360" w:lineRule="auto"/>
        <w:rPr>
          <w:rFonts w:hint="eastAsia" w:ascii="黑体" w:hAnsi="黑体" w:eastAsia="黑体" w:cs="黑体"/>
        </w:rPr>
      </w:pPr>
      <w:r>
        <w:rPr>
          <w:rFonts w:hint="eastAsia" w:ascii="黑体" w:hAnsi="黑体" w:eastAsia="黑体" w:cs="黑体"/>
        </w:rPr>
        <w:t>7.4对作物产量与质量的影响</w:t>
      </w:r>
    </w:p>
    <w:p w14:paraId="4A7F9607">
      <w:pPr>
        <w:adjustRightInd w:val="0"/>
        <w:snapToGrid w:val="0"/>
        <w:spacing w:line="360" w:lineRule="auto"/>
        <w:ind w:firstLine="420" w:firstLineChars="200"/>
        <w:rPr>
          <w:highlight w:val="cyan"/>
        </w:rPr>
      </w:pPr>
      <w:bookmarkStart w:id="23" w:name="_Hlk184316926"/>
      <w:r>
        <w:rPr>
          <w:lang w:bidi="en-US"/>
        </w:rPr>
        <w:t>按试验要求或试验期间有明显药害时，测定并记录每个小区的产量，用kg/hm</w:t>
      </w:r>
      <w:r>
        <w:rPr>
          <w:vertAlign w:val="superscript"/>
          <w:lang w:bidi="en-US"/>
        </w:rPr>
        <w:t>2</w:t>
      </w:r>
      <w:r>
        <w:rPr>
          <w:lang w:bidi="en-US"/>
        </w:rPr>
        <w:t>表示。</w:t>
      </w:r>
      <w:bookmarkEnd w:id="23"/>
    </w:p>
    <w:p w14:paraId="42628187">
      <w:pPr>
        <w:adjustRightInd w:val="0"/>
        <w:snapToGrid w:val="0"/>
        <w:spacing w:line="360" w:lineRule="auto"/>
        <w:rPr>
          <w:rFonts w:hint="eastAsia" w:ascii="黑体" w:hAnsi="黑体" w:eastAsia="黑体" w:cs="黑体"/>
        </w:rPr>
      </w:pPr>
      <w:r>
        <w:rPr>
          <w:rFonts w:hint="eastAsia" w:ascii="黑体" w:hAnsi="黑体" w:eastAsia="黑体" w:cs="黑体"/>
        </w:rPr>
        <w:t>7.5其他资料</w:t>
      </w:r>
    </w:p>
    <w:p w14:paraId="580FE033">
      <w:pPr>
        <w:adjustRightInd w:val="0"/>
        <w:snapToGrid w:val="0"/>
        <w:spacing w:line="360" w:lineRule="auto"/>
        <w:rPr>
          <w:rFonts w:hint="eastAsia" w:ascii="黑体" w:hAnsi="黑体" w:eastAsia="黑体" w:cs="黑体"/>
        </w:rPr>
      </w:pPr>
      <w:r>
        <w:rPr>
          <w:rFonts w:hint="eastAsia" w:ascii="黑体" w:hAnsi="黑体" w:eastAsia="黑体" w:cs="黑体"/>
        </w:rPr>
        <w:t>7.5.1气象资料</w:t>
      </w:r>
    </w:p>
    <w:p w14:paraId="7418DB4B">
      <w:pPr>
        <w:adjustRightInd w:val="0"/>
        <w:snapToGrid w:val="0"/>
        <w:spacing w:line="360" w:lineRule="auto"/>
        <w:ind w:firstLine="420" w:firstLineChars="200"/>
      </w:pPr>
      <w:bookmarkStart w:id="24" w:name="_Hlk20753593"/>
      <w:r>
        <w:t>试验期间应从试验地或最近的气象站获得降雨（降雨类型、日降雨量，以 mm 表示）、温度（日平均温度、最高和最低温度，以℃表示）和风力（以米/秒表示）的资料。</w:t>
      </w:r>
    </w:p>
    <w:p w14:paraId="78A1B31F">
      <w:pPr>
        <w:adjustRightInd w:val="0"/>
        <w:snapToGrid w:val="0"/>
        <w:spacing w:line="360" w:lineRule="auto"/>
        <w:ind w:firstLine="420" w:firstLineChars="200"/>
      </w:pPr>
      <w:r>
        <w:t>整个试验期间影响试验结果的恶劣气候因素，如严重或长期的干旱、暴雨、冰雹等均应记录。</w:t>
      </w:r>
    </w:p>
    <w:bookmarkEnd w:id="24"/>
    <w:p w14:paraId="6E61953C">
      <w:pPr>
        <w:adjustRightInd w:val="0"/>
        <w:snapToGrid w:val="0"/>
        <w:spacing w:line="360" w:lineRule="auto"/>
        <w:rPr>
          <w:rFonts w:hint="eastAsia" w:ascii="黑体" w:hAnsi="黑体" w:eastAsia="黑体" w:cs="黑体"/>
        </w:rPr>
      </w:pPr>
      <w:r>
        <w:rPr>
          <w:rFonts w:hint="eastAsia" w:ascii="黑体" w:hAnsi="黑体" w:eastAsia="黑体" w:cs="黑体"/>
        </w:rPr>
        <w:t>7.5.2土壤资料</w:t>
      </w:r>
    </w:p>
    <w:p w14:paraId="30A70B12">
      <w:pPr>
        <w:adjustRightInd w:val="0"/>
        <w:snapToGrid w:val="0"/>
        <w:spacing w:line="360" w:lineRule="auto"/>
        <w:ind w:firstLine="420" w:firstLineChars="200"/>
      </w:pPr>
      <w:r>
        <w:t>记录土壤类型、土壤肥力、水分（干、湿、涝）、土壤覆盖物（如塑料薄膜、作物残茬、杂草）等资料。</w:t>
      </w:r>
    </w:p>
    <w:p w14:paraId="13607727">
      <w:pPr>
        <w:adjustRightInd w:val="0"/>
        <w:snapToGrid w:val="0"/>
        <w:spacing w:line="360" w:lineRule="auto"/>
        <w:rPr>
          <w:rFonts w:hint="eastAsia" w:ascii="黑体" w:hAnsi="黑体" w:eastAsia="黑体" w:cs="黑体"/>
        </w:rPr>
      </w:pPr>
      <w:r>
        <w:rPr>
          <w:rFonts w:hint="eastAsia" w:ascii="黑体" w:hAnsi="黑体" w:eastAsia="黑体" w:cs="黑体"/>
        </w:rPr>
        <w:t>8药效计算方法</w:t>
      </w:r>
    </w:p>
    <w:p w14:paraId="5BF24E16">
      <w:pPr>
        <w:adjustRightInd w:val="0"/>
        <w:snapToGrid w:val="0"/>
        <w:spacing w:line="360" w:lineRule="auto"/>
        <w:rPr>
          <w:rFonts w:hint="eastAsia" w:ascii="黑体" w:hAnsi="黑体" w:eastAsia="黑体" w:cs="黑体"/>
        </w:rPr>
      </w:pPr>
      <w:r>
        <w:rPr>
          <w:rFonts w:hint="eastAsia" w:ascii="黑体" w:hAnsi="黑体" w:eastAsia="黑体" w:cs="黑体"/>
        </w:rPr>
        <w:t>8.1药效计算公式</w:t>
      </w:r>
    </w:p>
    <w:p w14:paraId="5BDF43FD">
      <w:pPr>
        <w:adjustRightInd w:val="0"/>
        <w:snapToGrid w:val="0"/>
        <w:spacing w:line="360" w:lineRule="auto"/>
        <w:rPr>
          <w:rFonts w:hint="eastAsia" w:ascii="黑体" w:hAnsi="黑体" w:eastAsia="黑体" w:cs="黑体"/>
        </w:rPr>
      </w:pPr>
      <w:r>
        <w:rPr>
          <w:rFonts w:hint="eastAsia" w:ascii="黑体" w:hAnsi="黑体" w:eastAsia="黑体" w:cs="黑体"/>
        </w:rPr>
        <w:t>8.1.1发病率</w:t>
      </w:r>
    </w:p>
    <w:p w14:paraId="60397FB8">
      <w:pPr>
        <w:adjustRightInd w:val="0"/>
        <w:snapToGrid w:val="0"/>
        <w:spacing w:line="360" w:lineRule="auto"/>
        <w:ind w:firstLine="420" w:firstLineChars="200"/>
      </w:pPr>
      <m:oMath>
        <m:r>
          <m:rPr/>
          <w:rPr>
            <w:rFonts w:ascii="Cambria Math" w:hAnsi="Cambria Math"/>
          </w:rPr>
          <m:t>D=</m:t>
        </m:r>
        <m:f>
          <m:fPr>
            <m:ctrlPr>
              <w:rPr>
                <w:rFonts w:ascii="Cambria Math" w:hAnsi="Cambria Math"/>
                <w:i/>
              </w:rPr>
            </m:ctrlPr>
          </m:fPr>
          <m:num>
            <m:sSub>
              <m:sSubPr>
                <m:ctrlPr>
                  <w:rPr>
                    <w:rFonts w:ascii="Cambria Math" w:hAnsi="Cambria Math"/>
                    <w:i/>
                  </w:rPr>
                </m:ctrlPr>
              </m:sSubPr>
              <m:e>
                <m:r>
                  <m:rPr/>
                  <w:rPr>
                    <w:rFonts w:ascii="Cambria Math" w:hAnsi="Cambria Math"/>
                  </w:rPr>
                  <m:t>N</m:t>
                </m:r>
                <m:ctrlPr>
                  <w:rPr>
                    <w:rFonts w:ascii="Cambria Math" w:hAnsi="Cambria Math"/>
                    <w:i/>
                  </w:rPr>
                </m:ctrlPr>
              </m:e>
              <m:sub>
                <m:r>
                  <m:rPr/>
                  <w:rPr>
                    <w:rFonts w:ascii="Cambria Math" w:hAnsi="Cambria Math"/>
                  </w:rPr>
                  <m:t>d</m:t>
                </m:r>
                <m:ctrlPr>
                  <w:rPr>
                    <w:rFonts w:ascii="Cambria Math" w:hAnsi="Cambria Math"/>
                    <w:i/>
                  </w:rPr>
                </m:ctrlPr>
              </m:sub>
            </m:sSub>
            <m:ctrlPr>
              <w:rPr>
                <w:rFonts w:ascii="Cambria Math" w:hAnsi="Cambria Math"/>
                <w:i/>
              </w:rPr>
            </m:ctrlPr>
          </m:num>
          <m:den>
            <m:r>
              <m:rPr/>
              <w:rPr>
                <w:rFonts w:ascii="Cambria Math" w:hAnsi="Cambria Math"/>
              </w:rPr>
              <m:t>N</m:t>
            </m:r>
            <m:ctrlPr>
              <w:rPr>
                <w:rFonts w:ascii="Cambria Math" w:hAnsi="Cambria Math"/>
                <w:i/>
              </w:rPr>
            </m:ctrlPr>
          </m:den>
        </m:f>
        <m:r>
          <m:rPr/>
          <w:rPr>
            <w:rFonts w:ascii="Cambria Math" w:hAnsi="Cambria Math"/>
          </w:rPr>
          <m:t>×100</m:t>
        </m:r>
      </m:oMath>
      <w:r>
        <w:t>……………………………………………………………（</w:t>
      </w:r>
      <w:r>
        <w:rPr>
          <w:rFonts w:hint="eastAsia"/>
        </w:rPr>
        <w:t>1</w:t>
      </w:r>
      <w:r>
        <w:t>）</w:t>
      </w:r>
    </w:p>
    <w:p w14:paraId="18E5AFC1">
      <w:pPr>
        <w:adjustRightInd w:val="0"/>
        <w:snapToGrid w:val="0"/>
        <w:spacing w:line="360" w:lineRule="auto"/>
        <w:ind w:firstLine="420" w:firstLineChars="200"/>
      </w:pPr>
      <w:r>
        <w:t xml:space="preserve">式中： </w:t>
      </w:r>
    </w:p>
    <w:p w14:paraId="3E9446E5">
      <w:pPr>
        <w:adjustRightInd w:val="0"/>
        <w:snapToGrid w:val="0"/>
        <w:spacing w:line="360" w:lineRule="auto"/>
        <w:ind w:firstLine="357" w:firstLineChars="170"/>
        <w:rPr>
          <w:i/>
        </w:rPr>
      </w:pPr>
      <w:r>
        <w:rPr>
          <w:rFonts w:hint="eastAsia"/>
          <w:i/>
        </w:rPr>
        <w:t>D</w:t>
      </w:r>
      <w:r>
        <w:t>——</w:t>
      </w:r>
      <w:r>
        <w:rPr>
          <w:rFonts w:hint="eastAsia"/>
        </w:rPr>
        <w:t>发病率</w:t>
      </w:r>
      <w:r>
        <w:t>；</w:t>
      </w:r>
      <w:r>
        <w:rPr>
          <w:i/>
        </w:rPr>
        <w:t xml:space="preserve"> </w:t>
      </w:r>
    </w:p>
    <w:p w14:paraId="5970997B">
      <w:pPr>
        <w:tabs>
          <w:tab w:val="left" w:pos="5970"/>
        </w:tabs>
        <w:adjustRightInd w:val="0"/>
        <w:snapToGrid w:val="0"/>
        <w:spacing w:line="360" w:lineRule="auto"/>
        <w:ind w:firstLine="359" w:firstLineChars="171"/>
      </w:pPr>
      <w:r>
        <w:rPr>
          <w:i/>
        </w:rPr>
        <w:t>N</w:t>
      </w:r>
      <w:r>
        <w:rPr>
          <w:rFonts w:hint="eastAsia"/>
          <w:i/>
          <w:vertAlign w:val="subscript"/>
        </w:rPr>
        <w:t>d</w:t>
      </w:r>
      <w:r>
        <w:t>——</w:t>
      </w:r>
      <w:r>
        <w:rPr>
          <w:rFonts w:hint="eastAsia"/>
        </w:rPr>
        <w:t>发病株数</w:t>
      </w:r>
      <w:r>
        <w:t>；</w:t>
      </w:r>
      <w:r>
        <w:tab/>
      </w:r>
    </w:p>
    <w:p w14:paraId="4BF39D1D">
      <w:pPr>
        <w:adjustRightInd w:val="0"/>
        <w:snapToGrid w:val="0"/>
        <w:spacing w:line="360" w:lineRule="auto"/>
        <w:ind w:firstLine="359" w:firstLineChars="171"/>
      </w:pPr>
      <w:r>
        <w:rPr>
          <w:rFonts w:hint="eastAsia"/>
          <w:i/>
          <w:iCs/>
        </w:rPr>
        <w:t>N</w:t>
      </w:r>
      <w:r>
        <w:rPr>
          <w:i/>
          <w:iCs/>
        </w:rPr>
        <w:t xml:space="preserve"> </w:t>
      </w:r>
      <w:r>
        <w:t>——</w:t>
      </w:r>
      <w:r>
        <w:rPr>
          <w:rFonts w:hint="eastAsia"/>
        </w:rPr>
        <w:t>调查总株数</w:t>
      </w:r>
      <w:r>
        <w:t>；</w:t>
      </w:r>
    </w:p>
    <w:p w14:paraId="0C174587">
      <w:pPr>
        <w:adjustRightInd w:val="0"/>
        <w:snapToGrid w:val="0"/>
        <w:spacing w:line="360" w:lineRule="auto"/>
        <w:rPr>
          <w:rFonts w:hint="eastAsia" w:ascii="黑体" w:hAnsi="黑体" w:eastAsia="黑体" w:cs="黑体"/>
        </w:rPr>
      </w:pPr>
      <w:r>
        <w:rPr>
          <w:rFonts w:hint="eastAsia" w:ascii="黑体" w:hAnsi="黑体" w:eastAsia="黑体" w:cs="黑体"/>
        </w:rPr>
        <w:t>8.1.2病情指数</w:t>
      </w:r>
    </w:p>
    <w:p w14:paraId="68D39E01">
      <w:pPr>
        <w:pStyle w:val="12"/>
        <w:spacing w:before="120"/>
        <w:ind w:left="0" w:leftChars="0"/>
      </w:pPr>
      <w:r>
        <w:t>病情指数按公式（</w:t>
      </w:r>
      <w:r>
        <w:rPr>
          <w:rFonts w:hint="eastAsia"/>
        </w:rPr>
        <w:t>2</w:t>
      </w:r>
      <w:r>
        <w:t>）计算</w:t>
      </w:r>
    </w:p>
    <w:p w14:paraId="19618A52">
      <w:pPr>
        <w:adjustRightInd w:val="0"/>
        <w:snapToGrid w:val="0"/>
        <w:spacing w:line="360" w:lineRule="auto"/>
        <w:ind w:firstLine="420" w:firstLineChars="200"/>
      </w:pPr>
      <m:oMath>
        <m:r>
          <m:rPr/>
          <w:rPr>
            <w:rFonts w:ascii="Cambria Math" w:hAnsi="Cambria Math"/>
          </w:rPr>
          <m:t>I=</m:t>
        </m:r>
        <m:f>
          <m:fPr>
            <m:ctrlPr>
              <w:rPr>
                <w:rFonts w:ascii="Cambria Math" w:hAnsi="Cambria Math"/>
                <w:i/>
              </w:rPr>
            </m:ctrlPr>
          </m:fPr>
          <m:num>
            <m:nary>
              <m:naryPr>
                <m:chr m:val="∑"/>
                <m:limLoc m:val="undOvr"/>
                <m:subHide m:val="1"/>
                <m:supHide m:val="1"/>
                <m:ctrlPr>
                  <w:rPr>
                    <w:rFonts w:ascii="Cambria Math" w:hAnsi="Cambria Math"/>
                    <w:i/>
                  </w:rPr>
                </m:ctrlPr>
              </m:naryPr>
              <m:sub>
                <m:ctrlPr>
                  <w:rPr>
                    <w:rFonts w:ascii="Cambria Math" w:hAnsi="Cambria Math"/>
                    <w:i/>
                  </w:rPr>
                </m:ctrlPr>
              </m:sub>
              <m:sup>
                <m:ctrlPr>
                  <w:rPr>
                    <w:rFonts w:ascii="Cambria Math" w:hAnsi="Cambria Math"/>
                    <w:i/>
                  </w:rPr>
                </m:ctrlPr>
              </m:sup>
              <m:e>
                <m:r>
                  <m:rPr/>
                  <w:rPr>
                    <w:rFonts w:ascii="Cambria Math" w:hAnsi="Cambria Math"/>
                  </w:rPr>
                  <m:t>（</m:t>
                </m:r>
                <m:sSub>
                  <m:sSubPr>
                    <m:ctrlPr>
                      <w:rPr>
                        <w:rFonts w:ascii="Cambria Math" w:hAnsi="Cambria Math"/>
                        <w:i/>
                      </w:rPr>
                    </m:ctrlPr>
                  </m:sSubPr>
                  <m:e>
                    <m:r>
                      <m:rPr/>
                      <w:rPr>
                        <w:rFonts w:ascii="Cambria Math" w:hAnsi="Cambria Math"/>
                      </w:rPr>
                      <m:t>N</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×i）</m:t>
                </m:r>
                <m:ctrlPr>
                  <w:rPr>
                    <w:rFonts w:ascii="Cambria Math" w:hAnsi="Cambria Math"/>
                    <w:i/>
                  </w:rPr>
                </m:ctrlPr>
              </m:e>
            </m:nary>
            <m:ctrlPr>
              <w:rPr>
                <w:rFonts w:ascii="Cambria Math" w:hAnsi="Cambria Math"/>
                <w:i/>
              </w:rPr>
            </m:ctrlPr>
          </m:num>
          <m:den>
            <m:r>
              <m:rPr/>
              <w:rPr>
                <w:rFonts w:ascii="Cambria Math" w:hAnsi="Cambria Math"/>
              </w:rPr>
              <m:t>N×</m:t>
            </m:r>
            <m:r>
              <m:rPr>
                <m:sty m:val="p"/>
              </m:rPr>
              <w:rPr>
                <w:rFonts w:ascii="Cambria Math" w:hAnsi="Cambria Math"/>
              </w:rPr>
              <m:t>9</m:t>
            </m:r>
            <m:ctrlPr>
              <w:rPr>
                <w:rFonts w:ascii="Cambria Math" w:hAnsi="Cambria Math"/>
                <w:i/>
              </w:rPr>
            </m:ctrlPr>
          </m:den>
        </m:f>
        <m:r>
          <m:rPr/>
          <w:rPr>
            <w:rFonts w:ascii="Cambria Math" w:hAnsi="Cambria Math"/>
          </w:rPr>
          <m:t>×100</m:t>
        </m:r>
      </m:oMath>
      <w:r>
        <w:t>………………………………………………………（</w:t>
      </w:r>
      <w:r>
        <w:rPr>
          <w:rFonts w:hint="eastAsia"/>
        </w:rPr>
        <w:t>2</w:t>
      </w:r>
      <w:r>
        <w:t>）</w:t>
      </w:r>
    </w:p>
    <w:p w14:paraId="4E042C3A">
      <w:pPr>
        <w:adjustRightInd w:val="0"/>
        <w:snapToGrid w:val="0"/>
        <w:spacing w:line="360" w:lineRule="auto"/>
        <w:ind w:firstLine="420" w:firstLineChars="200"/>
      </w:pPr>
      <w:r>
        <w:t xml:space="preserve">式中： </w:t>
      </w:r>
    </w:p>
    <w:p w14:paraId="11218F01">
      <w:pPr>
        <w:adjustRightInd w:val="0"/>
        <w:snapToGrid w:val="0"/>
        <w:spacing w:line="360" w:lineRule="auto"/>
        <w:ind w:firstLine="357" w:firstLineChars="170"/>
        <w:rPr>
          <w:i/>
        </w:rPr>
      </w:pPr>
      <w:r>
        <w:rPr>
          <w:i/>
        </w:rPr>
        <w:t xml:space="preserve">I </w:t>
      </w:r>
      <w:r>
        <w:t>——病情指数；</w:t>
      </w:r>
      <w:r>
        <w:rPr>
          <w:i/>
        </w:rPr>
        <w:t xml:space="preserve"> </w:t>
      </w:r>
    </w:p>
    <w:p w14:paraId="4F77DC59">
      <w:pPr>
        <w:tabs>
          <w:tab w:val="left" w:pos="5970"/>
        </w:tabs>
        <w:adjustRightInd w:val="0"/>
        <w:snapToGrid w:val="0"/>
        <w:spacing w:line="360" w:lineRule="auto"/>
        <w:ind w:firstLine="359" w:firstLineChars="171"/>
      </w:pPr>
      <w:r>
        <w:rPr>
          <w:i/>
        </w:rPr>
        <w:t>N</w:t>
      </w:r>
      <w:r>
        <w:rPr>
          <w:i/>
          <w:vertAlign w:val="subscript"/>
        </w:rPr>
        <w:t>i</w:t>
      </w:r>
      <w:r>
        <w:t>——各级病荚数；</w:t>
      </w:r>
      <w:r>
        <w:tab/>
      </w:r>
    </w:p>
    <w:p w14:paraId="444D2B02">
      <w:pPr>
        <w:adjustRightInd w:val="0"/>
        <w:snapToGrid w:val="0"/>
        <w:spacing w:line="360" w:lineRule="auto"/>
        <w:ind w:firstLine="359" w:firstLineChars="171"/>
      </w:pPr>
      <w:r>
        <w:rPr>
          <w:position w:val="-6"/>
        </w:rPr>
        <w:object>
          <v:shape id="_x0000_i1025" o:spt="75" type="#_x0000_t75" style="height:16.15pt;width:6.1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r>
        <w:t xml:space="preserve"> ——相对病级数值；</w:t>
      </w:r>
    </w:p>
    <w:p w14:paraId="5F77BC0C">
      <w:pPr>
        <w:adjustRightInd w:val="0"/>
        <w:snapToGrid w:val="0"/>
        <w:spacing w:line="360" w:lineRule="auto"/>
        <w:ind w:firstLine="359" w:firstLineChars="171"/>
      </w:pPr>
      <w:r>
        <w:rPr>
          <w:i/>
        </w:rPr>
        <w:t xml:space="preserve">N </w:t>
      </w:r>
      <w:r>
        <w:t>——调查总荚数</w:t>
      </w:r>
      <w:r>
        <w:rPr>
          <w:rFonts w:hint="eastAsia"/>
        </w:rPr>
        <w:t>。</w:t>
      </w:r>
    </w:p>
    <w:p w14:paraId="7E21696B">
      <w:pPr>
        <w:adjustRightInd w:val="0"/>
        <w:snapToGrid w:val="0"/>
        <w:spacing w:line="360" w:lineRule="auto"/>
        <w:rPr>
          <w:rFonts w:hint="eastAsia" w:ascii="黑体" w:hAnsi="黑体" w:eastAsia="黑体" w:cs="黑体"/>
        </w:rPr>
      </w:pPr>
      <w:r>
        <w:rPr>
          <w:rFonts w:hint="eastAsia" w:ascii="黑体" w:hAnsi="黑体" w:eastAsia="黑体" w:cs="黑体"/>
        </w:rPr>
        <w:t>8.1.3防治效果</w:t>
      </w:r>
    </w:p>
    <w:p w14:paraId="7E2121E7">
      <w:pPr>
        <w:spacing w:line="360" w:lineRule="auto"/>
        <w:ind w:firstLine="420" w:firstLineChars="200"/>
        <w:jc w:val="left"/>
        <w:rPr>
          <w:color w:val="000000" w:themeColor="text1"/>
          <w:kern w:val="0"/>
          <w:lang w:bidi="en-US"/>
          <w14:textFill>
            <w14:solidFill>
              <w14:schemeClr w14:val="tx1"/>
            </w14:solidFill>
          </w14:textFill>
        </w:rPr>
      </w:pPr>
      <w:r>
        <w:rPr>
          <w:color w:val="000000" w:themeColor="text1"/>
          <w:kern w:val="0"/>
          <w:szCs w:val="20"/>
          <w14:textFill>
            <w14:solidFill>
              <w14:schemeClr w14:val="tx1"/>
            </w14:solidFill>
          </w14:textFill>
        </w:rPr>
        <w:t>若第一次施药前已发病，</w:t>
      </w:r>
      <w:r>
        <w:rPr>
          <w:color w:val="000000" w:themeColor="text1"/>
          <w:kern w:val="0"/>
          <w:lang w:bidi="en-US"/>
          <w14:textFill>
            <w14:solidFill>
              <w14:schemeClr w14:val="tx1"/>
            </w14:solidFill>
          </w14:textFill>
        </w:rPr>
        <w:t>防治效果按照公式（</w:t>
      </w:r>
      <w:r>
        <w:rPr>
          <w:rFonts w:hint="eastAsia"/>
          <w:color w:val="000000" w:themeColor="text1"/>
          <w:kern w:val="0"/>
          <w:lang w:bidi="en-US"/>
          <w14:textFill>
            <w14:solidFill>
              <w14:schemeClr w14:val="tx1"/>
            </w14:solidFill>
          </w14:textFill>
        </w:rPr>
        <w:t>3</w:t>
      </w:r>
      <w:r>
        <w:rPr>
          <w:color w:val="000000" w:themeColor="text1"/>
          <w:kern w:val="0"/>
          <w:lang w:bidi="en-US"/>
          <w14:textFill>
            <w14:solidFill>
              <w14:schemeClr w14:val="tx1"/>
            </w14:solidFill>
          </w14:textFill>
        </w:rPr>
        <w:t>）计算：</w:t>
      </w:r>
    </w:p>
    <w:p w14:paraId="581EA11D">
      <w:pPr>
        <w:spacing w:line="360" w:lineRule="auto"/>
        <w:ind w:firstLine="424" w:firstLineChars="202"/>
        <w:jc w:val="left"/>
        <w:rPr>
          <w:color w:val="000000" w:themeColor="text1"/>
          <w:kern w:val="0"/>
          <w:lang w:bidi="en-US"/>
          <w14:textFill>
            <w14:solidFill>
              <w14:schemeClr w14:val="tx1"/>
            </w14:solidFill>
          </w14:textFill>
        </w:rPr>
      </w:pPr>
      <w:bookmarkStart w:id="25" w:name="_Hlk186037602"/>
      <m:oMath>
        <m:r>
          <m:rPr/>
          <w:rPr>
            <w:rFonts w:ascii="Cambria Math" w:hAnsi="Cambria Math"/>
            <w:color w:val="000000" w:themeColor="text1"/>
            <w:kern w:val="0"/>
            <w:lang w:eastAsia="en-US" w:bidi="en-US"/>
            <w14:textFill>
              <w14:solidFill>
                <w14:schemeClr w14:val="tx1"/>
              </w14:solidFill>
            </w14:textFill>
          </w:rPr>
          <m:t>E=</m:t>
        </m:r>
        <m:d>
          <m:dPr>
            <m:ctrlPr>
              <w:rPr>
                <w:rFonts w:ascii="Cambria Math" w:hAnsi="Cambria Math"/>
                <w:i/>
                <w:color w:val="000000" w:themeColor="text1"/>
                <w:kern w:val="0"/>
                <w:lang w:eastAsia="en-US" w:bidi="en-US"/>
                <w14:textFill>
                  <w14:solidFill>
                    <w14:schemeClr w14:val="tx1"/>
                  </w14:solidFill>
                </w14:textFill>
              </w:rPr>
            </m:ctrlPr>
          </m:dPr>
          <m:e>
            <m:r>
              <m:rPr/>
              <w:rPr>
                <w:rFonts w:ascii="Cambria Math" w:hAnsi="Cambria Math"/>
                <w:color w:val="000000" w:themeColor="text1"/>
                <w:kern w:val="0"/>
                <w:lang w:eastAsia="en-US" w:bidi="en-US"/>
                <w14:textFill>
                  <w14:solidFill>
                    <w14:schemeClr w14:val="tx1"/>
                  </w14:solidFill>
                </w14:textFill>
              </w:rPr>
              <m:t>1−</m:t>
            </m:r>
            <m:d>
              <m:dPr>
                <m:begChr m:val=""/>
                <m:endChr m:val=""/>
                <m:ctrlPr>
                  <w:rPr>
                    <w:rFonts w:ascii="Cambria Math" w:hAnsi="Cambria Math"/>
                    <w:i/>
                    <w:color w:val="000000" w:themeColor="text1"/>
                    <w:kern w:val="0"/>
                    <w:lang w:eastAsia="en-US" w:bidi="en-US"/>
                    <w14:textFill>
                      <w14:solidFill>
                        <w14:schemeClr w14:val="tx1"/>
                      </w14:solidFill>
                    </w14:textFill>
                  </w:rPr>
                </m:ctrlPr>
              </m:dPr>
              <m:e>
                <m:f>
                  <m:fPr>
                    <m:ctrlPr>
                      <w:rPr>
                        <w:rFonts w:ascii="Cambria Math" w:hAnsi="Cambria Math"/>
                        <w:i/>
                        <w:color w:val="000000" w:themeColor="text1"/>
                        <w:kern w:val="0"/>
                        <w:lang w:eastAsia="en-US" w:bidi="en-US"/>
                        <w14:textFill>
                          <w14:solidFill>
                            <w14:schemeClr w14:val="tx1"/>
                          </w14:solidFill>
                        </w14:textFill>
                      </w:rPr>
                    </m:ctrlPr>
                  </m:fPr>
                  <m:num>
                    <m:d>
                      <m:dPr>
                        <m:begChr m:val=""/>
                        <m:endChr m:val=""/>
                        <m:ctrlPr>
                          <w:rPr>
                            <w:rFonts w:ascii="Cambria Math" w:hAnsi="Cambria Math"/>
                            <w:i/>
                            <w:color w:val="000000" w:themeColor="text1"/>
                            <w:kern w:val="0"/>
                            <w:lang w:eastAsia="en-US" w:bidi="en-US"/>
                            <w14:textFill>
                              <w14:solidFill>
                                <w14:schemeClr w14:val="tx1"/>
                              </w14:solidFill>
                            </w14:textFill>
                          </w:rPr>
                        </m:ctrlPr>
                      </m:dPr>
                      <m:e>
                        <m:sSub>
                          <m:sSubPr>
                            <m:ctrlPr>
                              <w:rPr>
                                <w:rFonts w:ascii="Cambria Math" w:hAnsi="Cambria Math"/>
                                <w:i/>
                                <w:color w:val="000000" w:themeColor="text1"/>
                                <w:kern w:val="0"/>
                                <w:lang w:eastAsia="en-US" w:bidi="en-US"/>
                                <w14:textFill>
                                  <w14:solidFill>
                                    <w14:schemeClr w14:val="tx1"/>
                                  </w14:solidFill>
                                </w14:textFill>
                              </w:rPr>
                            </m:ctrlPr>
                          </m:sSubPr>
                          <m:e>
                            <m:r>
                              <m:rPr/>
                              <w:rPr>
                                <w:rFonts w:ascii="Cambria Math" w:hAnsi="Cambria Math"/>
                                <w:color w:val="000000" w:themeColor="text1"/>
                                <w:kern w:val="0"/>
                                <w:lang w:eastAsia="en-US" w:bidi="en-US"/>
                                <w14:textFill>
                                  <w14:solidFill>
                                    <w14:schemeClr w14:val="tx1"/>
                                  </w14:solidFill>
                                </w14:textFill>
                              </w:rPr>
                              <m:t>CK</m:t>
                            </m:r>
                            <m:ctrlPr>
                              <w:rPr>
                                <w:rFonts w:ascii="Cambria Math" w:hAnsi="Cambria Math"/>
                                <w:i/>
                                <w:color w:val="000000" w:themeColor="text1"/>
                                <w:kern w:val="0"/>
                                <w:lang w:eastAsia="en-US" w:bidi="en-US"/>
                                <w14:textFill>
                                  <w14:solidFill>
                                    <w14:schemeClr w14:val="tx1"/>
                                  </w14:solidFill>
                                </w14:textFill>
                              </w:rPr>
                            </m:ctrlPr>
                          </m:e>
                          <m:sub>
                            <m:r>
                              <m:rPr/>
                              <w:rPr>
                                <w:rFonts w:ascii="Cambria Math" w:hAnsi="Cambria Math"/>
                                <w:color w:val="000000" w:themeColor="text1"/>
                                <w:kern w:val="0"/>
                                <w:lang w:eastAsia="en-US" w:bidi="en-US"/>
                                <w14:textFill>
                                  <w14:solidFill>
                                    <w14:schemeClr w14:val="tx1"/>
                                  </w14:solidFill>
                                </w14:textFill>
                              </w:rPr>
                              <m:t>0</m:t>
                            </m:r>
                            <m:ctrlPr>
                              <w:rPr>
                                <w:rFonts w:ascii="Cambria Math" w:hAnsi="Cambria Math"/>
                                <w:i/>
                                <w:color w:val="000000" w:themeColor="text1"/>
                                <w:kern w:val="0"/>
                                <w:lang w:eastAsia="en-US" w:bidi="en-US"/>
                                <w14:textFill>
                                  <w14:solidFill>
                                    <w14:schemeClr w14:val="tx1"/>
                                  </w14:solidFill>
                                </w14:textFill>
                              </w:rPr>
                            </m:ctrlPr>
                          </m:sub>
                        </m:sSub>
                        <m:r>
                          <m:rPr/>
                          <w:rPr>
                            <w:rFonts w:ascii="Cambria Math" w:hAnsi="Cambria Math"/>
                            <w:color w:val="000000" w:themeColor="text1"/>
                            <w:kern w:val="0"/>
                            <w:lang w:eastAsia="en-US" w:bidi="en-US"/>
                            <w14:textFill>
                              <w14:solidFill>
                                <w14:schemeClr w14:val="tx1"/>
                              </w14:solidFill>
                            </w14:textFill>
                          </w:rPr>
                          <m:t>×</m:t>
                        </m:r>
                        <m:sSub>
                          <m:sSubPr>
                            <m:ctrlPr>
                              <w:rPr>
                                <w:rFonts w:ascii="Cambria Math" w:hAnsi="Cambria Math"/>
                                <w:i/>
                                <w:color w:val="000000" w:themeColor="text1"/>
                                <w:kern w:val="0"/>
                                <w:lang w:eastAsia="en-US" w:bidi="en-US"/>
                                <w14:textFill>
                                  <w14:solidFill>
                                    <w14:schemeClr w14:val="tx1"/>
                                  </w14:solidFill>
                                </w14:textFill>
                              </w:rPr>
                            </m:ctrlPr>
                          </m:sSubPr>
                          <m:e>
                            <m:r>
                              <m:rPr/>
                              <w:rPr>
                                <w:rFonts w:ascii="Cambria Math" w:hAnsi="Cambria Math"/>
                                <w:color w:val="000000" w:themeColor="text1"/>
                                <w:kern w:val="0"/>
                                <w:lang w:bidi="en-US"/>
                                <w14:textFill>
                                  <w14:solidFill>
                                    <w14:schemeClr w14:val="tx1"/>
                                  </w14:solidFill>
                                </w14:textFill>
                              </w:rPr>
                              <m:t>P</m:t>
                            </m:r>
                            <m:r>
                              <m:rPr/>
                              <w:rPr>
                                <w:rFonts w:ascii="Cambria Math" w:hAnsi="Cambria Math"/>
                                <w:color w:val="000000" w:themeColor="text1"/>
                                <w:kern w:val="0"/>
                                <w:lang w:eastAsia="en-US" w:bidi="en-US"/>
                                <w14:textFill>
                                  <w14:solidFill>
                                    <w14:schemeClr w14:val="tx1"/>
                                  </w14:solidFill>
                                </w14:textFill>
                              </w:rPr>
                              <m:t>T</m:t>
                            </m:r>
                            <m:ctrlPr>
                              <w:rPr>
                                <w:rFonts w:ascii="Cambria Math" w:hAnsi="Cambria Math"/>
                                <w:i/>
                                <w:color w:val="000000" w:themeColor="text1"/>
                                <w:kern w:val="0"/>
                                <w:lang w:eastAsia="en-US" w:bidi="en-US"/>
                                <w14:textFill>
                                  <w14:solidFill>
                                    <w14:schemeClr w14:val="tx1"/>
                                  </w14:solidFill>
                                </w14:textFill>
                              </w:rPr>
                            </m:ctrlPr>
                          </m:e>
                          <m:sub>
                            <m:r>
                              <m:rPr/>
                              <w:rPr>
                                <w:rFonts w:ascii="Cambria Math" w:hAnsi="Cambria Math"/>
                                <w:color w:val="000000" w:themeColor="text1"/>
                                <w:kern w:val="0"/>
                                <w:lang w:eastAsia="en-US" w:bidi="en-US"/>
                                <w14:textFill>
                                  <w14:solidFill>
                                    <w14:schemeClr w14:val="tx1"/>
                                  </w14:solidFill>
                                </w14:textFill>
                              </w:rPr>
                              <m:t>1</m:t>
                            </m:r>
                            <m:ctrlPr>
                              <w:rPr>
                                <w:rFonts w:ascii="Cambria Math" w:hAnsi="Cambria Math"/>
                                <w:i/>
                                <w:color w:val="000000" w:themeColor="text1"/>
                                <w:kern w:val="0"/>
                                <w:lang w:eastAsia="en-US" w:bidi="en-US"/>
                                <w14:textFill>
                                  <w14:solidFill>
                                    <w14:schemeClr w14:val="tx1"/>
                                  </w14:solidFill>
                                </w14:textFill>
                              </w:rPr>
                            </m:ctrlPr>
                          </m:sub>
                        </m:sSub>
                        <m:ctrlPr>
                          <w:rPr>
                            <w:rFonts w:ascii="Cambria Math" w:hAnsi="Cambria Math"/>
                            <w:i/>
                            <w:color w:val="000000" w:themeColor="text1"/>
                            <w:kern w:val="0"/>
                            <w:lang w:eastAsia="en-US" w:bidi="en-US"/>
                            <w14:textFill>
                              <w14:solidFill>
                                <w14:schemeClr w14:val="tx1"/>
                              </w14:solidFill>
                            </w14:textFill>
                          </w:rPr>
                        </m:ctrlPr>
                      </m:e>
                    </m:d>
                    <m:ctrlPr>
                      <w:rPr>
                        <w:rFonts w:ascii="Cambria Math" w:hAnsi="Cambria Math"/>
                        <w:i/>
                        <w:color w:val="000000" w:themeColor="text1"/>
                        <w:kern w:val="0"/>
                        <w:lang w:eastAsia="en-US" w:bidi="en-US"/>
                        <w14:textFill>
                          <w14:solidFill>
                            <w14:schemeClr w14:val="tx1"/>
                          </w14:solidFill>
                        </w14:textFill>
                      </w:rPr>
                    </m:ctrlPr>
                  </m:num>
                  <m:den>
                    <m:d>
                      <m:dPr>
                        <m:begChr m:val=""/>
                        <m:endChr m:val=""/>
                        <m:ctrlPr>
                          <w:rPr>
                            <w:rFonts w:ascii="Cambria Math" w:hAnsi="Cambria Math"/>
                            <w:i/>
                            <w:color w:val="000000" w:themeColor="text1"/>
                            <w:kern w:val="0"/>
                            <w:lang w:eastAsia="en-US" w:bidi="en-US"/>
                            <w14:textFill>
                              <w14:solidFill>
                                <w14:schemeClr w14:val="tx1"/>
                              </w14:solidFill>
                            </w14:textFill>
                          </w:rPr>
                        </m:ctrlPr>
                      </m:dPr>
                      <m:e>
                        <m:r>
                          <m:rPr/>
                          <w:rPr>
                            <w:rFonts w:ascii="Cambria Math" w:hAnsi="Cambria Math"/>
                            <w:color w:val="000000" w:themeColor="text1"/>
                            <w:kern w:val="0"/>
                            <w:lang w:bidi="en-US"/>
                            <w14:textFill>
                              <w14:solidFill>
                                <w14:schemeClr w14:val="tx1"/>
                              </w14:solidFill>
                            </w14:textFill>
                          </w:rPr>
                          <m:t>C</m:t>
                        </m:r>
                        <m:sSub>
                          <m:sSubPr>
                            <m:ctrlPr>
                              <w:rPr>
                                <w:rFonts w:ascii="Cambria Math" w:hAnsi="Cambria Math"/>
                                <w:i/>
                                <w:color w:val="000000" w:themeColor="text1"/>
                                <w:kern w:val="0"/>
                                <w:lang w:eastAsia="en-US" w:bidi="en-US"/>
                                <w14:textFill>
                                  <w14:solidFill>
                                    <w14:schemeClr w14:val="tx1"/>
                                  </w14:solidFill>
                                </w14:textFill>
                              </w:rPr>
                            </m:ctrlPr>
                          </m:sSubPr>
                          <m:e>
                            <m:r>
                              <m:rPr/>
                              <w:rPr>
                                <w:rFonts w:ascii="Cambria Math" w:hAnsi="Cambria Math"/>
                                <w:color w:val="000000" w:themeColor="text1"/>
                                <w:kern w:val="0"/>
                                <w:lang w:eastAsia="en-US" w:bidi="en-US"/>
                                <w14:textFill>
                                  <w14:solidFill>
                                    <w14:schemeClr w14:val="tx1"/>
                                  </w14:solidFill>
                                </w14:textFill>
                              </w:rPr>
                              <m:t>K</m:t>
                            </m:r>
                            <m:ctrlPr>
                              <w:rPr>
                                <w:rFonts w:ascii="Cambria Math" w:hAnsi="Cambria Math"/>
                                <w:i/>
                                <w:color w:val="000000" w:themeColor="text1"/>
                                <w:kern w:val="0"/>
                                <w:lang w:eastAsia="en-US" w:bidi="en-US"/>
                                <w14:textFill>
                                  <w14:solidFill>
                                    <w14:schemeClr w14:val="tx1"/>
                                  </w14:solidFill>
                                </w14:textFill>
                              </w:rPr>
                            </m:ctrlPr>
                          </m:e>
                          <m:sub>
                            <m:r>
                              <m:rPr/>
                              <w:rPr>
                                <w:rFonts w:ascii="Cambria Math" w:hAnsi="Cambria Math"/>
                                <w:color w:val="000000" w:themeColor="text1"/>
                                <w:kern w:val="0"/>
                                <w:lang w:eastAsia="en-US" w:bidi="en-US"/>
                                <w14:textFill>
                                  <w14:solidFill>
                                    <w14:schemeClr w14:val="tx1"/>
                                  </w14:solidFill>
                                </w14:textFill>
                              </w:rPr>
                              <m:t>1</m:t>
                            </m:r>
                            <m:ctrlPr>
                              <w:rPr>
                                <w:rFonts w:ascii="Cambria Math" w:hAnsi="Cambria Math"/>
                                <w:i/>
                                <w:color w:val="000000" w:themeColor="text1"/>
                                <w:kern w:val="0"/>
                                <w:lang w:eastAsia="en-US" w:bidi="en-US"/>
                                <w14:textFill>
                                  <w14:solidFill>
                                    <w14:schemeClr w14:val="tx1"/>
                                  </w14:solidFill>
                                </w14:textFill>
                              </w:rPr>
                            </m:ctrlPr>
                          </m:sub>
                        </m:sSub>
                        <m:r>
                          <m:rPr/>
                          <w:rPr>
                            <w:rFonts w:ascii="Cambria Math" w:hAnsi="Cambria Math"/>
                            <w:color w:val="000000" w:themeColor="text1"/>
                            <w:kern w:val="0"/>
                            <w:lang w:eastAsia="en-US" w:bidi="en-US"/>
                            <w14:textFill>
                              <w14:solidFill>
                                <w14:schemeClr w14:val="tx1"/>
                              </w14:solidFill>
                            </w14:textFill>
                          </w:rPr>
                          <m:t>×</m:t>
                        </m:r>
                        <m:sSub>
                          <m:sSubPr>
                            <m:ctrlPr>
                              <w:rPr>
                                <w:rFonts w:ascii="Cambria Math" w:hAnsi="Cambria Math"/>
                                <w:i/>
                                <w:color w:val="000000" w:themeColor="text1"/>
                                <w:kern w:val="0"/>
                                <w:lang w:eastAsia="en-US" w:bidi="en-US"/>
                                <w14:textFill>
                                  <w14:solidFill>
                                    <w14:schemeClr w14:val="tx1"/>
                                  </w14:solidFill>
                                </w14:textFill>
                              </w:rPr>
                            </m:ctrlPr>
                          </m:sSubPr>
                          <m:e>
                            <m:r>
                              <m:rPr/>
                              <w:rPr>
                                <w:rFonts w:ascii="Cambria Math" w:hAnsi="Cambria Math"/>
                                <w:color w:val="000000" w:themeColor="text1"/>
                                <w:kern w:val="0"/>
                                <w:lang w:bidi="en-US"/>
                                <w14:textFill>
                                  <w14:solidFill>
                                    <w14:schemeClr w14:val="tx1"/>
                                  </w14:solidFill>
                                </w14:textFill>
                              </w:rPr>
                              <m:t>PT</m:t>
                            </m:r>
                            <m:ctrlPr>
                              <w:rPr>
                                <w:rFonts w:ascii="Cambria Math" w:hAnsi="Cambria Math"/>
                                <w:i/>
                                <w:color w:val="000000" w:themeColor="text1"/>
                                <w:kern w:val="0"/>
                                <w:lang w:eastAsia="en-US" w:bidi="en-US"/>
                                <w14:textFill>
                                  <w14:solidFill>
                                    <w14:schemeClr w14:val="tx1"/>
                                  </w14:solidFill>
                                </w14:textFill>
                              </w:rPr>
                            </m:ctrlPr>
                          </m:e>
                          <m:sub>
                            <m:r>
                              <m:rPr/>
                              <w:rPr>
                                <w:rFonts w:ascii="Cambria Math" w:hAnsi="Cambria Math"/>
                                <w:color w:val="000000" w:themeColor="text1"/>
                                <w:kern w:val="0"/>
                                <w:lang w:eastAsia="en-US" w:bidi="en-US"/>
                                <w14:textFill>
                                  <w14:solidFill>
                                    <w14:schemeClr w14:val="tx1"/>
                                  </w14:solidFill>
                                </w14:textFill>
                              </w:rPr>
                              <m:t>0</m:t>
                            </m:r>
                            <m:ctrlPr>
                              <w:rPr>
                                <w:rFonts w:ascii="Cambria Math" w:hAnsi="Cambria Math"/>
                                <w:i/>
                                <w:color w:val="000000" w:themeColor="text1"/>
                                <w:kern w:val="0"/>
                                <w:lang w:eastAsia="en-US" w:bidi="en-US"/>
                                <w14:textFill>
                                  <w14:solidFill>
                                    <w14:schemeClr w14:val="tx1"/>
                                  </w14:solidFill>
                                </w14:textFill>
                              </w:rPr>
                            </m:ctrlPr>
                          </m:sub>
                        </m:sSub>
                        <m:ctrlPr>
                          <w:rPr>
                            <w:rFonts w:ascii="Cambria Math" w:hAnsi="Cambria Math"/>
                            <w:i/>
                            <w:color w:val="000000" w:themeColor="text1"/>
                            <w:kern w:val="0"/>
                            <w:lang w:eastAsia="en-US" w:bidi="en-US"/>
                            <w14:textFill>
                              <w14:solidFill>
                                <w14:schemeClr w14:val="tx1"/>
                              </w14:solidFill>
                            </w14:textFill>
                          </w:rPr>
                        </m:ctrlPr>
                      </m:e>
                    </m:d>
                    <m:ctrlPr>
                      <w:rPr>
                        <w:rFonts w:ascii="Cambria Math" w:hAnsi="Cambria Math"/>
                        <w:i/>
                        <w:color w:val="000000" w:themeColor="text1"/>
                        <w:kern w:val="0"/>
                        <w:lang w:eastAsia="en-US" w:bidi="en-US"/>
                        <w14:textFill>
                          <w14:solidFill>
                            <w14:schemeClr w14:val="tx1"/>
                          </w14:solidFill>
                        </w14:textFill>
                      </w:rPr>
                    </m:ctrlPr>
                  </m:den>
                </m:f>
                <m:ctrlPr>
                  <w:rPr>
                    <w:rFonts w:ascii="Cambria Math" w:hAnsi="Cambria Math"/>
                    <w:i/>
                    <w:color w:val="000000" w:themeColor="text1"/>
                    <w:kern w:val="0"/>
                    <w:lang w:eastAsia="en-US" w:bidi="en-US"/>
                    <w14:textFill>
                      <w14:solidFill>
                        <w14:schemeClr w14:val="tx1"/>
                      </w14:solidFill>
                    </w14:textFill>
                  </w:rPr>
                </m:ctrlPr>
              </m:e>
            </m:d>
            <m:ctrlPr>
              <w:rPr>
                <w:rFonts w:ascii="Cambria Math" w:hAnsi="Cambria Math"/>
                <w:i/>
                <w:color w:val="000000" w:themeColor="text1"/>
                <w:kern w:val="0"/>
                <w:lang w:eastAsia="en-US" w:bidi="en-US"/>
                <w14:textFill>
                  <w14:solidFill>
                    <w14:schemeClr w14:val="tx1"/>
                  </w14:solidFill>
                </w14:textFill>
              </w:rPr>
            </m:ctrlPr>
          </m:e>
        </m:d>
        <m:r>
          <m:rPr/>
          <w:rPr>
            <w:rFonts w:ascii="Cambria Math" w:hAnsi="Cambria Math"/>
            <w:color w:val="000000" w:themeColor="text1"/>
            <w:kern w:val="0"/>
            <w:lang w:eastAsia="en-US" w:bidi="en-US"/>
            <w14:textFill>
              <w14:solidFill>
                <w14:schemeClr w14:val="tx1"/>
              </w14:solidFill>
            </w14:textFill>
          </w:rPr>
          <m:t xml:space="preserve">×100 </m:t>
        </m:r>
      </m:oMath>
      <w:r>
        <w:rPr>
          <w:color w:val="000000" w:themeColor="text1"/>
          <w:kern w:val="0"/>
          <w:sz w:val="22"/>
          <w:lang w:eastAsia="en-US" w:bidi="en-US"/>
          <w14:textFill>
            <w14:solidFill>
              <w14:schemeClr w14:val="tx1"/>
            </w14:solidFill>
          </w14:textFill>
        </w:rPr>
        <w:t xml:space="preserve"> </w:t>
      </w:r>
      <w:r>
        <w:rPr>
          <w:color w:val="000000" w:themeColor="text1"/>
          <w:kern w:val="0"/>
          <w:lang w:bidi="en-US"/>
          <w14:textFill>
            <w14:solidFill>
              <w14:schemeClr w14:val="tx1"/>
            </w14:solidFill>
          </w14:textFill>
        </w:rPr>
        <w:t>··················································（</w:t>
      </w:r>
      <w:r>
        <w:rPr>
          <w:rFonts w:hint="eastAsia"/>
          <w:color w:val="000000" w:themeColor="text1"/>
          <w:kern w:val="0"/>
          <w:lang w:bidi="en-US"/>
          <w14:textFill>
            <w14:solidFill>
              <w14:schemeClr w14:val="tx1"/>
            </w14:solidFill>
          </w14:textFill>
        </w:rPr>
        <w:t>3</w:t>
      </w:r>
      <w:r>
        <w:rPr>
          <w:color w:val="000000" w:themeColor="text1"/>
          <w:kern w:val="0"/>
          <w:lang w:bidi="en-US"/>
          <w14:textFill>
            <w14:solidFill>
              <w14:schemeClr w14:val="tx1"/>
            </w14:solidFill>
          </w14:textFill>
        </w:rPr>
        <w:t>）</w:t>
      </w:r>
    </w:p>
    <w:p w14:paraId="2A17BBAA">
      <w:pPr>
        <w:spacing w:line="360" w:lineRule="auto"/>
        <w:ind w:firstLine="420" w:firstLineChars="200"/>
        <w:rPr>
          <w:color w:val="000000" w:themeColor="text1"/>
          <w:kern w:val="0"/>
          <w:lang w:bidi="en-US"/>
          <w14:textFill>
            <w14:solidFill>
              <w14:schemeClr w14:val="tx1"/>
            </w14:solidFill>
          </w14:textFill>
        </w:rPr>
      </w:pPr>
      <w:r>
        <w:rPr>
          <w:color w:val="000000" w:themeColor="text1"/>
          <w:kern w:val="0"/>
          <w:lang w:bidi="en-US"/>
          <w14:textFill>
            <w14:solidFill>
              <w14:schemeClr w14:val="tx1"/>
            </w14:solidFill>
          </w14:textFill>
        </w:rPr>
        <w:t>式中：</w:t>
      </w:r>
    </w:p>
    <w:p w14:paraId="6B873256">
      <w:pPr>
        <w:adjustRightInd w:val="0"/>
        <w:snapToGrid w:val="0"/>
        <w:spacing w:line="360" w:lineRule="auto"/>
        <w:ind w:firstLine="357" w:firstLineChars="170"/>
        <w:rPr>
          <w:i/>
        </w:rPr>
      </w:pPr>
      <w:r>
        <w:rPr>
          <w:i/>
        </w:rPr>
        <w:t xml:space="preserve">E </w:t>
      </w:r>
      <w:bookmarkStart w:id="26" w:name="OLE_LINK7"/>
      <w:r>
        <w:rPr>
          <w:i/>
        </w:rPr>
        <w:t>—</w:t>
      </w:r>
      <w:bookmarkEnd w:id="26"/>
      <w:r>
        <w:rPr>
          <w:i/>
        </w:rPr>
        <w:t>—</w:t>
      </w:r>
      <w:r>
        <w:rPr>
          <w:iCs/>
        </w:rPr>
        <w:t>防治效果，单位为百分数(%)；</w:t>
      </w:r>
    </w:p>
    <w:p w14:paraId="3CA2F551">
      <w:pPr>
        <w:adjustRightInd w:val="0"/>
        <w:snapToGrid w:val="0"/>
        <w:spacing w:line="360" w:lineRule="auto"/>
        <w:ind w:firstLine="357" w:firstLineChars="170"/>
        <w:rPr>
          <w:i/>
        </w:rPr>
      </w:pPr>
      <w:r>
        <w:rPr>
          <w:i/>
        </w:rPr>
        <w:t>CK</w:t>
      </w:r>
      <w:r>
        <w:rPr>
          <w:i/>
          <w:vertAlign w:val="subscript"/>
        </w:rPr>
        <w:t>0</w:t>
      </w:r>
      <w:r>
        <w:rPr>
          <w:i/>
        </w:rPr>
        <w:t xml:space="preserve"> ——</w:t>
      </w:r>
      <w:r>
        <w:rPr>
          <w:iCs/>
        </w:rPr>
        <w:t>对照组施药前病情指数</w:t>
      </w:r>
      <w:r>
        <w:rPr>
          <w:rFonts w:hint="eastAsia"/>
          <w:iCs/>
        </w:rPr>
        <w:t>或病株率</w:t>
      </w:r>
      <w:r>
        <w:rPr>
          <w:iCs/>
        </w:rPr>
        <w:t>；</w:t>
      </w:r>
    </w:p>
    <w:p w14:paraId="52AA09CE">
      <w:pPr>
        <w:adjustRightInd w:val="0"/>
        <w:snapToGrid w:val="0"/>
        <w:spacing w:line="360" w:lineRule="auto"/>
        <w:ind w:firstLine="357" w:firstLineChars="170"/>
        <w:rPr>
          <w:i/>
        </w:rPr>
      </w:pPr>
      <w:r>
        <w:rPr>
          <w:i/>
        </w:rPr>
        <w:t>PT</w:t>
      </w:r>
      <w:r>
        <w:rPr>
          <w:i/>
          <w:vertAlign w:val="subscript"/>
        </w:rPr>
        <w:t>0</w:t>
      </w:r>
      <w:r>
        <w:rPr>
          <w:i/>
        </w:rPr>
        <w:t>——</w:t>
      </w:r>
      <w:r>
        <w:rPr>
          <w:iCs/>
        </w:rPr>
        <w:t>处理组施药前病情指数</w:t>
      </w:r>
      <w:r>
        <w:rPr>
          <w:rFonts w:hint="eastAsia"/>
          <w:iCs/>
        </w:rPr>
        <w:t>或病株率</w:t>
      </w:r>
      <w:r>
        <w:rPr>
          <w:iCs/>
        </w:rPr>
        <w:t>；</w:t>
      </w:r>
    </w:p>
    <w:p w14:paraId="6046F475">
      <w:pPr>
        <w:adjustRightInd w:val="0"/>
        <w:snapToGrid w:val="0"/>
        <w:spacing w:line="360" w:lineRule="auto"/>
        <w:ind w:firstLine="357" w:firstLineChars="170"/>
        <w:rPr>
          <w:i/>
        </w:rPr>
      </w:pPr>
      <w:r>
        <w:rPr>
          <w:i/>
        </w:rPr>
        <w:t>CK</w:t>
      </w:r>
      <w:r>
        <w:rPr>
          <w:i/>
          <w:vertAlign w:val="subscript"/>
        </w:rPr>
        <w:t>1</w:t>
      </w:r>
      <w:r>
        <w:rPr>
          <w:i/>
        </w:rPr>
        <w:t>——</w:t>
      </w:r>
      <w:r>
        <w:rPr>
          <w:iCs/>
        </w:rPr>
        <w:t>对照组施药后病情指数</w:t>
      </w:r>
      <w:r>
        <w:rPr>
          <w:rFonts w:hint="eastAsia"/>
          <w:iCs/>
        </w:rPr>
        <w:t>或病株率</w:t>
      </w:r>
      <w:r>
        <w:rPr>
          <w:iCs/>
        </w:rPr>
        <w:t>；</w:t>
      </w:r>
    </w:p>
    <w:p w14:paraId="1D1D176E">
      <w:pPr>
        <w:adjustRightInd w:val="0"/>
        <w:snapToGrid w:val="0"/>
        <w:spacing w:line="360" w:lineRule="auto"/>
        <w:ind w:firstLine="357" w:firstLineChars="170"/>
        <w:rPr>
          <w:i/>
        </w:rPr>
      </w:pPr>
      <w:r>
        <w:rPr>
          <w:i/>
        </w:rPr>
        <w:t>PT</w:t>
      </w:r>
      <w:r>
        <w:rPr>
          <w:i/>
          <w:vertAlign w:val="subscript"/>
        </w:rPr>
        <w:t>1</w:t>
      </w:r>
      <w:r>
        <w:rPr>
          <w:i/>
        </w:rPr>
        <w:t>——</w:t>
      </w:r>
      <w:r>
        <w:rPr>
          <w:iCs/>
        </w:rPr>
        <w:t>处理组施药后病情指数</w:t>
      </w:r>
      <w:r>
        <w:rPr>
          <w:rFonts w:hint="eastAsia"/>
          <w:iCs/>
        </w:rPr>
        <w:t>或病株率</w:t>
      </w:r>
      <w:r>
        <w:rPr>
          <w:iCs/>
        </w:rPr>
        <w:t>。</w:t>
      </w:r>
    </w:p>
    <w:bookmarkEnd w:id="25"/>
    <w:p w14:paraId="00189229">
      <w:pPr>
        <w:spacing w:line="360" w:lineRule="auto"/>
        <w:ind w:firstLine="420" w:firstLineChars="200"/>
        <w:jc w:val="left"/>
        <w:rPr>
          <w:color w:val="000000" w:themeColor="text1"/>
          <w:kern w:val="0"/>
          <w:lang w:bidi="en-US"/>
          <w14:textFill>
            <w14:solidFill>
              <w14:schemeClr w14:val="tx1"/>
            </w14:solidFill>
          </w14:textFill>
        </w:rPr>
      </w:pPr>
      <w:r>
        <w:rPr>
          <w:color w:val="000000" w:themeColor="text1"/>
          <w:kern w:val="0"/>
          <w:szCs w:val="20"/>
          <w14:textFill>
            <w14:solidFill>
              <w14:schemeClr w14:val="tx1"/>
            </w14:solidFill>
          </w14:textFill>
        </w:rPr>
        <w:t>若第一次施药前未发病，防治效果按公式（</w:t>
      </w:r>
      <w:r>
        <w:rPr>
          <w:rFonts w:hint="eastAsia"/>
          <w:color w:val="000000" w:themeColor="text1"/>
          <w:kern w:val="0"/>
          <w:szCs w:val="20"/>
          <w14:textFill>
            <w14:solidFill>
              <w14:schemeClr w14:val="tx1"/>
            </w14:solidFill>
          </w14:textFill>
        </w:rPr>
        <w:t>4</w:t>
      </w:r>
      <w:r>
        <w:rPr>
          <w:color w:val="000000" w:themeColor="text1"/>
          <w:kern w:val="0"/>
          <w:szCs w:val="20"/>
          <w14:textFill>
            <w14:solidFill>
              <w14:schemeClr w14:val="tx1"/>
            </w14:solidFill>
          </w14:textFill>
        </w:rPr>
        <w:t>）</w:t>
      </w:r>
      <w:r>
        <w:rPr>
          <w:color w:val="000000" w:themeColor="text1"/>
          <w:kern w:val="0"/>
          <w:lang w:bidi="en-US"/>
          <w14:textFill>
            <w14:solidFill>
              <w14:schemeClr w14:val="tx1"/>
            </w14:solidFill>
          </w14:textFill>
        </w:rPr>
        <w:t>计算：</w:t>
      </w:r>
    </w:p>
    <w:p w14:paraId="49ABCF0A">
      <w:pPr>
        <w:spacing w:line="360" w:lineRule="auto"/>
        <w:ind w:firstLine="424" w:firstLineChars="202"/>
        <w:rPr>
          <w:i/>
          <w:color w:val="000000" w:themeColor="text1"/>
          <w:kern w:val="0"/>
          <w:lang w:eastAsia="en-US" w:bidi="en-US"/>
          <w14:textFill>
            <w14:solidFill>
              <w14:schemeClr w14:val="tx1"/>
            </w14:solidFill>
          </w14:textFill>
        </w:rPr>
      </w:pPr>
      <m:oMath>
        <m:r>
          <m:rPr/>
          <w:rPr>
            <w:rFonts w:ascii="Cambria Math" w:hAnsi="Cambria Math"/>
            <w:color w:val="000000" w:themeColor="text1"/>
            <w:kern w:val="0"/>
            <w:lang w:bidi="en-US"/>
            <w14:textFill>
              <w14:solidFill>
                <w14:schemeClr w14:val="tx1"/>
              </w14:solidFill>
            </w14:textFill>
          </w:rPr>
          <m:t>E=</m:t>
        </m:r>
        <m:f>
          <m:fPr>
            <m:ctrlPr>
              <w:rPr>
                <w:rFonts w:ascii="Cambria Math" w:hAnsi="Cambria Math"/>
                <w:i/>
                <w:color w:val="000000" w:themeColor="text1"/>
                <w:kern w:val="0"/>
                <w:lang w:eastAsia="en-US" w:bidi="en-US"/>
                <w14:textFill>
                  <w14:solidFill>
                    <w14:schemeClr w14:val="tx1"/>
                  </w14:solidFill>
                </w14:textFill>
              </w:rPr>
            </m:ctrlPr>
          </m:fPr>
          <m:num>
            <m:r>
              <m:rPr/>
              <w:rPr>
                <w:rFonts w:ascii="Cambria Math" w:hAnsi="Cambria Math"/>
                <w:color w:val="000000" w:themeColor="text1"/>
                <w:kern w:val="0"/>
                <w:lang w:bidi="en-US"/>
                <w14:textFill>
                  <w14:solidFill>
                    <w14:schemeClr w14:val="tx1"/>
                  </w14:solidFill>
                </w14:textFill>
              </w:rPr>
              <m:t>CK</m:t>
            </m:r>
            <m:r>
              <m:rPr/>
              <w:rPr>
                <w:rFonts w:ascii="Cambria Math" w:hAnsi="Cambria Math"/>
                <w:color w:val="000000" w:themeColor="text1"/>
                <w:kern w:val="0"/>
                <w:lang w:eastAsia="en-US" w:bidi="en-US"/>
                <w14:textFill>
                  <w14:solidFill>
                    <w14:schemeClr w14:val="tx1"/>
                  </w14:solidFill>
                </w14:textFill>
              </w:rPr>
              <m:t>−</m:t>
            </m:r>
            <m:r>
              <m:rPr/>
              <w:rPr>
                <w:rFonts w:ascii="Cambria Math" w:hAnsi="Cambria Math"/>
                <w:color w:val="000000" w:themeColor="text1"/>
                <w:kern w:val="0"/>
                <w:lang w:bidi="en-US"/>
                <w14:textFill>
                  <w14:solidFill>
                    <w14:schemeClr w14:val="tx1"/>
                  </w14:solidFill>
                </w14:textFill>
              </w:rPr>
              <m:t>PT</m:t>
            </m:r>
            <m:ctrlPr>
              <w:rPr>
                <w:rFonts w:ascii="Cambria Math" w:hAnsi="Cambria Math"/>
                <w:i/>
                <w:color w:val="000000" w:themeColor="text1"/>
                <w:kern w:val="0"/>
                <w:lang w:eastAsia="en-US" w:bidi="en-US"/>
                <w14:textFill>
                  <w14:solidFill>
                    <w14:schemeClr w14:val="tx1"/>
                  </w14:solidFill>
                </w14:textFill>
              </w:rPr>
            </m:ctrlPr>
          </m:num>
          <m:den>
            <m:r>
              <m:rPr/>
              <w:rPr>
                <w:rFonts w:ascii="Cambria Math" w:hAnsi="Cambria Math"/>
                <w:color w:val="000000" w:themeColor="text1"/>
                <w:kern w:val="0"/>
                <w:lang w:bidi="en-US"/>
                <w14:textFill>
                  <w14:solidFill>
                    <w14:schemeClr w14:val="tx1"/>
                  </w14:solidFill>
                </w14:textFill>
              </w:rPr>
              <m:t>CK</m:t>
            </m:r>
            <m:ctrlPr>
              <w:rPr>
                <w:rFonts w:ascii="Cambria Math" w:hAnsi="Cambria Math"/>
                <w:i/>
                <w:color w:val="000000" w:themeColor="text1"/>
                <w:kern w:val="0"/>
                <w:lang w:eastAsia="en-US" w:bidi="en-US"/>
                <w14:textFill>
                  <w14:solidFill>
                    <w14:schemeClr w14:val="tx1"/>
                  </w14:solidFill>
                </w14:textFill>
              </w:rPr>
            </m:ctrlPr>
          </m:den>
        </m:f>
        <m:r>
          <m:rPr/>
          <w:rPr>
            <w:rFonts w:ascii="Cambria Math" w:hAnsi="Cambria Math"/>
            <w:color w:val="000000" w:themeColor="text1"/>
            <w:kern w:val="0"/>
            <w:lang w:bidi="en-US"/>
            <w14:textFill>
              <w14:solidFill>
                <w14:schemeClr w14:val="tx1"/>
              </w14:solidFill>
            </w14:textFill>
          </w:rPr>
          <m:t>×100</m:t>
        </m:r>
      </m:oMath>
      <w:r>
        <w:rPr>
          <w:color w:val="000000" w:themeColor="text1"/>
          <w:kern w:val="0"/>
          <w:sz w:val="22"/>
          <w:lang w:eastAsia="en-US" w:bidi="en-US"/>
          <w14:textFill>
            <w14:solidFill>
              <w14:schemeClr w14:val="tx1"/>
            </w14:solidFill>
          </w14:textFill>
        </w:rPr>
        <w:t xml:space="preserve"> </w:t>
      </w:r>
      <w:r>
        <w:rPr>
          <w:color w:val="000000" w:themeColor="text1"/>
          <w:kern w:val="0"/>
          <w:lang w:bidi="en-US"/>
          <w14:textFill>
            <w14:solidFill>
              <w14:schemeClr w14:val="tx1"/>
            </w14:solidFill>
          </w14:textFill>
        </w:rPr>
        <w:t>····</w:t>
      </w:r>
      <w:r>
        <w:rPr>
          <w:color w:val="000000" w:themeColor="text1"/>
          <w:kern w:val="0"/>
          <w:lang w:eastAsia="en-US" w:bidi="en-US"/>
          <w14:textFill>
            <w14:solidFill>
              <w14:schemeClr w14:val="tx1"/>
            </w14:solidFill>
          </w14:textFill>
        </w:rPr>
        <w:t>···············</w:t>
      </w:r>
      <w:r>
        <w:rPr>
          <w:color w:val="000000" w:themeColor="text1"/>
          <w:kern w:val="0"/>
          <w:lang w:bidi="en-US"/>
          <w14:textFill>
            <w14:solidFill>
              <w14:schemeClr w14:val="tx1"/>
            </w14:solidFill>
          </w14:textFill>
        </w:rPr>
        <w:t>················</w:t>
      </w:r>
      <w:r>
        <w:rPr>
          <w:color w:val="000000" w:themeColor="text1"/>
          <w:kern w:val="0"/>
          <w:lang w:eastAsia="en-US" w:bidi="en-US"/>
          <w14:textFill>
            <w14:solidFill>
              <w14:schemeClr w14:val="tx1"/>
            </w14:solidFill>
          </w14:textFill>
        </w:rPr>
        <w:t>············</w:t>
      </w:r>
      <w:r>
        <w:rPr>
          <w:color w:val="000000" w:themeColor="text1"/>
          <w:kern w:val="0"/>
          <w:lang w:bidi="en-US"/>
          <w14:textFill>
            <w14:solidFill>
              <w14:schemeClr w14:val="tx1"/>
            </w14:solidFill>
          </w14:textFill>
        </w:rPr>
        <w:t>····</w:t>
      </w:r>
      <w:r>
        <w:rPr>
          <w:color w:val="000000" w:themeColor="text1"/>
          <w:kern w:val="0"/>
          <w:lang w:eastAsia="en-US" w:bidi="en-US"/>
          <w14:textFill>
            <w14:solidFill>
              <w14:schemeClr w14:val="tx1"/>
            </w14:solidFill>
          </w14:textFill>
        </w:rPr>
        <w:t>·········（</w:t>
      </w:r>
      <w:r>
        <w:rPr>
          <w:rFonts w:hint="eastAsia"/>
          <w:color w:val="000000" w:themeColor="text1"/>
          <w:kern w:val="0"/>
          <w:lang w:bidi="en-US"/>
          <w14:textFill>
            <w14:solidFill>
              <w14:schemeClr w14:val="tx1"/>
            </w14:solidFill>
          </w14:textFill>
        </w:rPr>
        <w:t>4</w:t>
      </w:r>
      <w:r>
        <w:rPr>
          <w:color w:val="000000" w:themeColor="text1"/>
          <w:kern w:val="0"/>
          <w:lang w:eastAsia="en-US" w:bidi="en-US"/>
          <w14:textFill>
            <w14:solidFill>
              <w14:schemeClr w14:val="tx1"/>
            </w14:solidFill>
          </w14:textFill>
        </w:rPr>
        <w:t>）</w:t>
      </w:r>
    </w:p>
    <w:p w14:paraId="5F32898D">
      <w:pPr>
        <w:spacing w:line="360" w:lineRule="auto"/>
        <w:ind w:firstLine="420" w:firstLineChars="200"/>
        <w:rPr>
          <w:color w:val="000000" w:themeColor="text1"/>
          <w:kern w:val="0"/>
          <w:lang w:bidi="en-US"/>
          <w14:textFill>
            <w14:solidFill>
              <w14:schemeClr w14:val="tx1"/>
            </w14:solidFill>
          </w14:textFill>
        </w:rPr>
      </w:pPr>
      <w:r>
        <w:rPr>
          <w:color w:val="000000" w:themeColor="text1"/>
          <w:kern w:val="0"/>
          <w:lang w:bidi="en-US"/>
          <w14:textFill>
            <w14:solidFill>
              <w14:schemeClr w14:val="tx1"/>
            </w14:solidFill>
          </w14:textFill>
        </w:rPr>
        <w:t>式中：</w:t>
      </w:r>
    </w:p>
    <w:p w14:paraId="30D3C250">
      <w:pPr>
        <w:adjustRightInd w:val="0"/>
        <w:snapToGrid w:val="0"/>
        <w:spacing w:line="360" w:lineRule="auto"/>
        <w:ind w:firstLine="357" w:firstLineChars="170"/>
        <w:rPr>
          <w:i/>
        </w:rPr>
      </w:pPr>
      <w:r>
        <w:rPr>
          <w:i/>
        </w:rPr>
        <w:t>E——</w:t>
      </w:r>
      <w:r>
        <w:rPr>
          <w:iCs/>
        </w:rPr>
        <w:t>防治效果，单位为百分数</w:t>
      </w:r>
      <w:r>
        <w:rPr>
          <w:color w:val="000000" w:themeColor="text1"/>
          <w:kern w:val="0"/>
          <w:lang w:bidi="en-US"/>
          <w14:textFill>
            <w14:solidFill>
              <w14:schemeClr w14:val="tx1"/>
            </w14:solidFill>
          </w14:textFill>
        </w:rPr>
        <w:t>（</w:t>
      </w:r>
      <w:r>
        <w:rPr>
          <w:iCs/>
        </w:rPr>
        <w:t>%</w:t>
      </w:r>
      <w:r>
        <w:rPr>
          <w:color w:val="000000" w:themeColor="text1"/>
          <w:kern w:val="0"/>
          <w:szCs w:val="20"/>
          <w14:textFill>
            <w14:solidFill>
              <w14:schemeClr w14:val="tx1"/>
            </w14:solidFill>
          </w14:textFill>
        </w:rPr>
        <w:t>）</w:t>
      </w:r>
      <w:r>
        <w:rPr>
          <w:rFonts w:hint="eastAsia"/>
          <w:color w:val="000000" w:themeColor="text1"/>
          <w:kern w:val="0"/>
          <w:szCs w:val="20"/>
          <w14:textFill>
            <w14:solidFill>
              <w14:schemeClr w14:val="tx1"/>
            </w14:solidFill>
          </w14:textFill>
        </w:rPr>
        <w:t>；</w:t>
      </w:r>
    </w:p>
    <w:p w14:paraId="46D2339B">
      <w:pPr>
        <w:adjustRightInd w:val="0"/>
        <w:snapToGrid w:val="0"/>
        <w:spacing w:line="360" w:lineRule="auto"/>
        <w:ind w:firstLine="357" w:firstLineChars="170"/>
        <w:rPr>
          <w:i/>
        </w:rPr>
      </w:pPr>
      <w:r>
        <w:rPr>
          <w:i/>
        </w:rPr>
        <w:t>CK ——</w:t>
      </w:r>
      <w:r>
        <w:rPr>
          <w:iCs/>
        </w:rPr>
        <w:t>对照组病情指数</w:t>
      </w:r>
      <w:r>
        <w:rPr>
          <w:rFonts w:hint="eastAsia"/>
          <w:iCs/>
        </w:rPr>
        <w:t>或病株率</w:t>
      </w:r>
      <w:r>
        <w:rPr>
          <w:iCs/>
        </w:rPr>
        <w:t>；</w:t>
      </w:r>
    </w:p>
    <w:p w14:paraId="09129229">
      <w:pPr>
        <w:adjustRightInd w:val="0"/>
        <w:snapToGrid w:val="0"/>
        <w:spacing w:line="360" w:lineRule="auto"/>
        <w:ind w:firstLine="357" w:firstLineChars="170"/>
        <w:rPr>
          <w:i/>
        </w:rPr>
      </w:pPr>
      <w:r>
        <w:rPr>
          <w:i/>
        </w:rPr>
        <w:t>PT ——</w:t>
      </w:r>
      <w:r>
        <w:rPr>
          <w:iCs/>
        </w:rPr>
        <w:t>处理组病情指数</w:t>
      </w:r>
      <w:r>
        <w:rPr>
          <w:rFonts w:hint="eastAsia"/>
          <w:iCs/>
        </w:rPr>
        <w:t>或病株率</w:t>
      </w:r>
      <w:r>
        <w:rPr>
          <w:iCs/>
        </w:rPr>
        <w:t>。</w:t>
      </w:r>
    </w:p>
    <w:p w14:paraId="3E2F3534">
      <w:pPr>
        <w:adjustRightInd w:val="0"/>
        <w:snapToGrid w:val="0"/>
        <w:spacing w:line="360" w:lineRule="auto"/>
        <w:rPr>
          <w:rFonts w:hint="eastAsia" w:ascii="黑体" w:hAnsi="黑体" w:eastAsia="黑体" w:cs="黑体"/>
        </w:rPr>
      </w:pPr>
      <w:r>
        <w:rPr>
          <w:rFonts w:hint="eastAsia" w:ascii="黑体" w:hAnsi="黑体" w:eastAsia="黑体" w:cs="黑体"/>
        </w:rPr>
        <w:t>8.2 统计分析</w:t>
      </w:r>
    </w:p>
    <w:p w14:paraId="3418DC24">
      <w:pPr>
        <w:widowControl/>
        <w:spacing w:line="360" w:lineRule="auto"/>
        <w:ind w:firstLine="420" w:firstLineChars="200"/>
        <w:jc w:val="left"/>
        <w:outlineLvl w:val="0"/>
        <w:rPr>
          <w:color w:val="000000" w:themeColor="text1"/>
          <w:kern w:val="0"/>
          <w:lang w:eastAsia="zh-TW" w:bidi="en-US"/>
          <w14:textFill>
            <w14:solidFill>
              <w14:schemeClr w14:val="tx1"/>
            </w14:solidFill>
          </w14:textFill>
        </w:rPr>
      </w:pPr>
      <w:r>
        <w:rPr>
          <w:color w:val="000000" w:themeColor="text1"/>
          <w:kern w:val="0"/>
          <w:lang w:eastAsia="zh-TW" w:bidi="en-US"/>
          <w14:textFill>
            <w14:solidFill>
              <w14:schemeClr w14:val="tx1"/>
            </w14:solidFill>
          </w14:textFill>
        </w:rPr>
        <w:t>应用合适的生物统计学方法（如：邓肯氏新复极差法或其他多重比较法）对结果进行分析和差异显著性比较，并注明采用的统计分析软件。</w:t>
      </w:r>
    </w:p>
    <w:p w14:paraId="5FB704B3">
      <w:pPr>
        <w:adjustRightInd w:val="0"/>
        <w:snapToGrid w:val="0"/>
        <w:spacing w:line="360" w:lineRule="auto"/>
        <w:rPr>
          <w:rFonts w:hint="eastAsia" w:ascii="黑体" w:hAnsi="黑体" w:eastAsia="黑体" w:cs="黑体"/>
        </w:rPr>
      </w:pPr>
      <w:r>
        <w:rPr>
          <w:rFonts w:hint="eastAsia" w:ascii="黑体" w:hAnsi="黑体" w:eastAsia="黑体" w:cs="黑体"/>
        </w:rPr>
        <w:t>9  结果与报告编写</w:t>
      </w:r>
    </w:p>
    <w:p w14:paraId="0B3C2EE2">
      <w:pPr>
        <w:widowControl/>
        <w:spacing w:line="360" w:lineRule="auto"/>
        <w:ind w:firstLine="420" w:firstLineChars="200"/>
        <w:jc w:val="left"/>
        <w:outlineLvl w:val="0"/>
        <w:rPr>
          <w:color w:val="000000" w:themeColor="text1"/>
          <w:kern w:val="0"/>
          <w:lang w:eastAsia="zh-TW" w:bidi="en-US"/>
          <w14:textFill>
            <w14:solidFill>
              <w14:schemeClr w14:val="tx1"/>
            </w14:solidFill>
          </w14:textFill>
        </w:rPr>
      </w:pPr>
      <w:bookmarkStart w:id="27" w:name="_Hlk193373749"/>
      <w:r>
        <w:rPr>
          <w:color w:val="000000" w:themeColor="text1"/>
          <w:kern w:val="0"/>
          <w:lang w:eastAsia="zh-TW" w:bidi="en-US"/>
          <w14:textFill>
            <w14:solidFill>
              <w14:schemeClr w14:val="tx1"/>
            </w14:solidFill>
          </w14:textFill>
        </w:rPr>
        <w:t>列出原始数据汇总表，并根据试验结果和统计分析结果，对产品特点、药效、安全性及关键使用技术进行评价，写出正式试验报告</w:t>
      </w:r>
      <w:bookmarkEnd w:id="27"/>
      <w:r>
        <w:rPr>
          <w:kern w:val="0"/>
        </w:rPr>
        <w:t>。</w:t>
      </w:r>
    </w:p>
    <w:p w14:paraId="755F9ABB">
      <w:pPr>
        <w:pStyle w:val="58"/>
        <w:jc w:val="both"/>
        <w:rPr>
          <w:rFonts w:hint="eastAsia" w:ascii="Times New Roman"/>
        </w:rPr>
      </w:pPr>
      <w:r>
        <w:rPr>
          <w:rFonts w:ascii="Times New Roman"/>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309245</wp:posOffset>
                </wp:positionV>
                <wp:extent cx="1943100" cy="0"/>
                <wp:effectExtent l="0" t="0" r="19050" b="19050"/>
                <wp:wrapSquare wrapText="bothSides"/>
                <wp:docPr id="1" name="直线 12"/>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ln>
                      </wps:spPr>
                      <wps:bodyPr/>
                    </wps:wsp>
                  </a:graphicData>
                </a:graphic>
              </wp:anchor>
            </w:drawing>
          </mc:Choice>
          <mc:Fallback>
            <w:pict>
              <v:line id="直线 12" o:spid="_x0000_s1026" o:spt="20" style="position:absolute;left:0pt;margin-left:90pt;margin-top:24.35pt;height:0pt;width:153pt;mso-wrap-distance-bottom:0pt;mso-wrap-distance-left:9pt;mso-wrap-distance-right:9pt;mso-wrap-distance-top:0pt;z-index:251659264;mso-width-relative:page;mso-height-relative:page;" filled="f" stroked="t" coordsize="21600,21600" o:gfxdata="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iChL9UAAAAJAQAADwAAAAAAAAABACAA&#10;AAAiAAAAZHJzL2Rvd25yZXYueG1sUEsBAhQAFAAAAAgAh07iQCO6UaDXAQAAogMAAA4AAAAAAAAA&#10;AQAgAAAAJAEAAGRycy9lMm9Eb2MueG1sUEsFBgAAAAAGAAYAWQEAAG0FAAAAAA==&#10;">
                <v:fill on="f" focussize="0,0"/>
                <v:stroke color="#000000" joinstyle="round"/>
                <v:imagedata o:title=""/>
                <o:lock v:ext="edit" aspectratio="f"/>
                <w10:wrap type="square"/>
              </v:line>
            </w:pict>
          </mc:Fallback>
        </mc:AlternateContent>
      </w:r>
    </w:p>
    <w:sectPr>
      <w:type w:val="continuous"/>
      <w:pgSz w:w="12240" w:h="15840"/>
      <w:pgMar w:top="1440" w:right="1800" w:bottom="1440" w:left="1800" w:header="720" w:footer="720"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CD521">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994781"/>
      <w:docPartObj>
        <w:docPartGallery w:val="AutoText"/>
      </w:docPartObj>
    </w:sdtPr>
    <w:sdtContent>
      <w:p w14:paraId="4790DA96">
        <w:pPr>
          <w:pStyle w:val="8"/>
        </w:pPr>
        <w:r>
          <w:fldChar w:fldCharType="begin"/>
        </w:r>
        <w:r>
          <w:instrText xml:space="preserve">PAGE   \* MERGEFORMAT</w:instrText>
        </w:r>
        <w:r>
          <w:fldChar w:fldCharType="separate"/>
        </w:r>
        <w:r>
          <w:rPr>
            <w:lang w:val="zh-CN"/>
          </w:rPr>
          <w:t>4</w:t>
        </w:r>
        <w:r>
          <w:fldChar w:fldCharType="end"/>
        </w:r>
      </w:p>
    </w:sdtContent>
  </w:sdt>
  <w:p w14:paraId="1B1E99B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0E84C">
    <w:pPr>
      <w:pStyle w:val="8"/>
      <w:jc w:val="right"/>
    </w:pPr>
  </w:p>
  <w:p w14:paraId="40FC67C7">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2197881"/>
      <w:docPartObj>
        <w:docPartGallery w:val="AutoText"/>
      </w:docPartObj>
    </w:sdtPr>
    <w:sdtContent>
      <w:p w14:paraId="621E7584">
        <w:pPr>
          <w:pStyle w:val="8"/>
          <w:jc w:val="right"/>
        </w:pPr>
        <w:r>
          <w:fldChar w:fldCharType="begin"/>
        </w:r>
        <w:r>
          <w:instrText xml:space="preserve">PAGE   \* MERGEFORMAT</w:instrText>
        </w:r>
        <w:r>
          <w:fldChar w:fldCharType="separate"/>
        </w:r>
        <w:r>
          <w:rPr>
            <w:lang w:val="zh-CN"/>
          </w:rPr>
          <w:t>5</w:t>
        </w:r>
        <w:r>
          <w:fldChar w:fldCharType="end"/>
        </w:r>
      </w:p>
    </w:sdtContent>
  </w:sdt>
  <w:p w14:paraId="458F4350">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771300"/>
      <w:docPartObj>
        <w:docPartGallery w:val="AutoText"/>
      </w:docPartObj>
    </w:sdtPr>
    <w:sdtContent>
      <w:p w14:paraId="04BC81BA">
        <w:pPr>
          <w:pStyle w:val="8"/>
          <w:jc w:val="right"/>
        </w:pPr>
        <w:r>
          <w:fldChar w:fldCharType="begin"/>
        </w:r>
        <w:r>
          <w:instrText xml:space="preserve">PAGE   \* MERGEFORMAT</w:instrText>
        </w:r>
        <w:r>
          <w:fldChar w:fldCharType="separate"/>
        </w:r>
        <w:r>
          <w:rPr>
            <w:lang w:val="zh-CN"/>
          </w:rPr>
          <w:t>1</w:t>
        </w:r>
        <w:r>
          <w:fldChar w:fldCharType="end"/>
        </w:r>
      </w:p>
    </w:sdtContent>
  </w:sdt>
  <w:p w14:paraId="4EC96C13">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F483C">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379DB">
    <w:pPr>
      <w:pStyle w:val="9"/>
      <w:pBdr>
        <w:bottom w:val="none" w:color="auto" w:sz="0" w:space="0"/>
      </w:pBdr>
      <w:jc w:val="left"/>
    </w:pPr>
    <w:r>
      <w:rPr>
        <w:rFonts w:hint="eastAsia"/>
        <w:sz w:val="21"/>
        <w:szCs w:val="21"/>
      </w:rPr>
      <w:t>NY</w:t>
    </w:r>
    <w:r>
      <w:rPr>
        <w:sz w:val="21"/>
        <w:szCs w:val="21"/>
      </w:rPr>
      <w:t xml:space="preserve">/T </w:t>
    </w:r>
    <w:r>
      <w:rPr>
        <w:rFonts w:hint="eastAsia"/>
      </w:rPr>
      <w:t>1464.105</w:t>
    </w:r>
    <w:r>
      <w:t>-</w:t>
    </w:r>
    <w:r>
      <w:rPr>
        <w:rFonts w:hint="eastAsia"/>
      </w:rPr>
      <w:t>202</w:t>
    </w:r>
    <w: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6F949">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06E78">
    <w:pPr>
      <w:pStyle w:val="9"/>
      <w:pBdr>
        <w:bottom w:val="none" w:color="auto" w:sz="0" w:space="0"/>
      </w:pBdr>
      <w:ind w:left="1260" w:hanging="420"/>
      <w:jc w:val="right"/>
      <w:rPr>
        <w:sz w:val="21"/>
        <w:szCs w:val="21"/>
      </w:rPr>
    </w:pPr>
    <w:r>
      <w:rPr>
        <w:rFonts w:hint="eastAsia"/>
        <w:sz w:val="21"/>
        <w:szCs w:val="21"/>
      </w:rPr>
      <w:t>NY</w:t>
    </w:r>
    <w:r>
      <w:rPr>
        <w:sz w:val="21"/>
        <w:szCs w:val="21"/>
      </w:rPr>
      <w:t xml:space="preserve">/T </w:t>
    </w:r>
    <w:r>
      <w:rPr>
        <w:rFonts w:hint="eastAsia"/>
      </w:rPr>
      <w:t>1464.105</w:t>
    </w:r>
    <w:r>
      <w:t>-</w:t>
    </w:r>
    <w:r>
      <w:rPr>
        <w:rFonts w:hint="eastAsia"/>
      </w:rPr>
      <w:t>202</w:t>
    </w:r>
    <w:r>
      <w:t>X</w:t>
    </w:r>
  </w:p>
  <w:p w14:paraId="2B1A9E8D">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B41CE">
    <w:pPr>
      <w:pStyle w:val="9"/>
      <w:pBdr>
        <w:bottom w:val="none" w:color="auto" w:sz="0" w:space="0"/>
      </w:pBdr>
      <w:jc w:val="right"/>
    </w:pPr>
    <w:r>
      <w:rPr>
        <w:rFonts w:hint="eastAsia"/>
      </w:rPr>
      <w:t>NY</w:t>
    </w:r>
    <w:r>
      <w:t xml:space="preserve">/T </w:t>
    </w:r>
    <w:r>
      <w:rPr>
        <w:rFonts w:hint="eastAsia"/>
      </w:rPr>
      <w:t>1464.</w:t>
    </w:r>
    <w:r>
      <w:rPr>
        <w:snapToGrid w:val="0"/>
        <w:lang w:val="en-GB"/>
      </w:rPr>
      <w:t xml:space="preserve"> </w:t>
    </w:r>
    <w:r>
      <w:rPr>
        <w:rFonts w:hint="eastAsia"/>
        <w:snapToGrid w:val="0"/>
        <w:lang w:val="en-GB"/>
      </w:rPr>
      <w:t>105</w:t>
    </w:r>
    <w:r>
      <w:t>-</w:t>
    </w:r>
    <w:r>
      <w:rPr>
        <w:rFonts w:hint="eastAsia"/>
      </w:rPr>
      <w:t>202</w:t>
    </w:r>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53711"/>
    <w:multiLevelType w:val="singleLevel"/>
    <w:tmpl w:val="8EB53711"/>
    <w:lvl w:ilvl="0" w:tentative="0">
      <w:start w:val="1"/>
      <w:numFmt w:val="lowerLetter"/>
      <w:lvlText w:val="%1)"/>
      <w:lvlJc w:val="left"/>
      <w:pPr>
        <w:tabs>
          <w:tab w:val="left" w:pos="312"/>
        </w:tabs>
      </w:pPr>
    </w:lvl>
  </w:abstractNum>
  <w:abstractNum w:abstractNumId="1">
    <w:nsid w:val="20F14F69"/>
    <w:multiLevelType w:val="singleLevel"/>
    <w:tmpl w:val="20F14F69"/>
    <w:lvl w:ilvl="0" w:tentative="0">
      <w:start w:val="1"/>
      <w:numFmt w:val="decimal"/>
      <w:suff w:val="nothing"/>
      <w:lvlText w:val="%1）"/>
      <w:lvlJc w:val="left"/>
    </w:lvl>
  </w:abstractNum>
  <w:abstractNum w:abstractNumId="2">
    <w:nsid w:val="33073EEB"/>
    <w:multiLevelType w:val="multilevel"/>
    <w:tmpl w:val="33073EEB"/>
    <w:lvl w:ilvl="0" w:tentative="0">
      <w:start w:val="1"/>
      <w:numFmt w:val="decimal"/>
      <w:pStyle w:val="61"/>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57C2AF5"/>
    <w:multiLevelType w:val="multilevel"/>
    <w:tmpl w:val="557C2AF5"/>
    <w:lvl w:ilvl="0" w:tentative="0">
      <w:start w:val="1"/>
      <w:numFmt w:val="decimal"/>
      <w:pStyle w:val="53"/>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default" w:ascii="Times New Roman" w:hAnsi="Times New Roman" w:eastAsia="黑体"/>
        <w:b w:val="0"/>
        <w:bCs w:val="0"/>
        <w:i w:val="0"/>
        <w:iCs w:val="0"/>
        <w:sz w:val="21"/>
        <w:szCs w:val="21"/>
      </w:rPr>
    </w:lvl>
    <w:lvl w:ilvl="2" w:tentative="0">
      <w:start w:val="1"/>
      <w:numFmt w:val="decimal"/>
      <w:suff w:val="nothing"/>
      <w:lvlText w:val="%1%2.%3　"/>
      <w:lvlJc w:val="left"/>
      <w:rPr>
        <w:rFonts w:hint="default" w:ascii="Times New Roman" w:hAnsi="Times New Roman" w:eastAsia="黑体"/>
        <w:b w:val="0"/>
        <w:bCs w:val="0"/>
        <w:i w:val="0"/>
        <w:iCs w:val="0"/>
        <w:sz w:val="21"/>
        <w:szCs w:val="21"/>
      </w:rPr>
    </w:lvl>
    <w:lvl w:ilvl="3" w:tentative="0">
      <w:start w:val="1"/>
      <w:numFmt w:val="decimal"/>
      <w:suff w:val="nothing"/>
      <w:lvlText w:val="%1%2.%3.%4　"/>
      <w:lvlJc w:val="left"/>
      <w:rPr>
        <w:rFonts w:hint="default" w:ascii="Times New Roman" w:hAnsi="Times New Roman" w:eastAsia="黑体"/>
        <w:b w:val="0"/>
        <w:bCs w:val="0"/>
        <w:i w:val="0"/>
        <w:iCs w:val="0"/>
        <w:sz w:val="21"/>
        <w:szCs w:val="21"/>
      </w:rPr>
    </w:lvl>
    <w:lvl w:ilvl="4" w:tentative="0">
      <w:start w:val="1"/>
      <w:numFmt w:val="decimal"/>
      <w:suff w:val="nothing"/>
      <w:lvlText w:val="%1%2.%3.%4.%5　"/>
      <w:lvlJc w:val="left"/>
      <w:rPr>
        <w:rFonts w:hint="default" w:ascii="Times New Roman" w:hAnsi="Times New Roman" w:eastAsia="黑体"/>
        <w:b w:val="0"/>
        <w:bCs w:val="0"/>
        <w:i w:val="0"/>
        <w:iCs w:val="0"/>
        <w:sz w:val="21"/>
        <w:szCs w:val="21"/>
      </w:rPr>
    </w:lvl>
    <w:lvl w:ilvl="5" w:tentative="0">
      <w:start w:val="1"/>
      <w:numFmt w:val="decimal"/>
      <w:suff w:val="nothing"/>
      <w:lvlText w:val="%1%2.%3.%4.%5.%6　"/>
      <w:lvlJc w:val="left"/>
      <w:rPr>
        <w:rFonts w:hint="default" w:ascii="Times New Roman" w:hAnsi="Times New Roman" w:eastAsia="黑体"/>
        <w:b w:val="0"/>
        <w:bCs w:val="0"/>
        <w:i w:val="0"/>
        <w:iCs w:val="0"/>
        <w:sz w:val="21"/>
        <w:szCs w:val="21"/>
      </w:rPr>
    </w:lvl>
    <w:lvl w:ilvl="6" w:tentative="0">
      <w:start w:val="1"/>
      <w:numFmt w:val="decimal"/>
      <w:suff w:val="nothing"/>
      <w:lvlText w:val="%1%2.%3.%4.%5.%6.%7　"/>
      <w:lvlJc w:val="left"/>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CEA2025"/>
    <w:multiLevelType w:val="multilevel"/>
    <w:tmpl w:val="6CEA2025"/>
    <w:lvl w:ilvl="0" w:tentative="0">
      <w:start w:val="1"/>
      <w:numFmt w:val="none"/>
      <w:pStyle w:val="40"/>
      <w:suff w:val="nothing"/>
      <w:lvlText w:val="%1"/>
      <w:lvlJc w:val="left"/>
      <w:rPr>
        <w:rFonts w:hint="default" w:ascii="Times New Roman" w:hAnsi="Times New Roman"/>
        <w:b/>
        <w:bCs/>
        <w:i w:val="0"/>
        <w:iCs w:val="0"/>
        <w:sz w:val="21"/>
        <w:szCs w:val="21"/>
      </w:rPr>
    </w:lvl>
    <w:lvl w:ilvl="1" w:tentative="0">
      <w:start w:val="1"/>
      <w:numFmt w:val="decimal"/>
      <w:pStyle w:val="42"/>
      <w:suff w:val="nothing"/>
      <w:lvlText w:val="%1%2　"/>
      <w:lvlJc w:val="left"/>
      <w:rPr>
        <w:rFonts w:hint="eastAsia" w:ascii="黑体" w:hAnsi="Times New Roman" w:eastAsia="黑体"/>
        <w:b w:val="0"/>
        <w:bCs w:val="0"/>
        <w:i w:val="0"/>
        <w:iCs w:val="0"/>
        <w:sz w:val="21"/>
        <w:szCs w:val="21"/>
      </w:rPr>
    </w:lvl>
    <w:lvl w:ilvl="2" w:tentative="0">
      <w:start w:val="1"/>
      <w:numFmt w:val="decimal"/>
      <w:pStyle w:val="43"/>
      <w:suff w:val="nothing"/>
      <w:lvlText w:val="%1%2.%3　"/>
      <w:lvlJc w:val="left"/>
      <w:rPr>
        <w:rFonts w:hint="eastAsia" w:ascii="黑体" w:hAnsi="Times New Roman" w:eastAsia="黑体"/>
        <w:b w:val="0"/>
        <w:bCs w:val="0"/>
        <w:i w:val="0"/>
        <w:iCs w:val="0"/>
        <w:sz w:val="21"/>
        <w:szCs w:val="21"/>
      </w:rPr>
    </w:lvl>
    <w:lvl w:ilvl="3" w:tentative="0">
      <w:start w:val="1"/>
      <w:numFmt w:val="decimal"/>
      <w:pStyle w:val="44"/>
      <w:suff w:val="nothing"/>
      <w:lvlText w:val="%1%2.%3.%4　"/>
      <w:lvlJc w:val="left"/>
      <w:rPr>
        <w:rFonts w:hint="eastAsia" w:ascii="黑体" w:hAnsi="Times New Roman" w:eastAsia="黑体"/>
        <w:b w:val="0"/>
        <w:bCs w:val="0"/>
        <w:i w:val="0"/>
        <w:iCs w:val="0"/>
        <w:sz w:val="21"/>
        <w:szCs w:val="21"/>
      </w:rPr>
    </w:lvl>
    <w:lvl w:ilvl="4" w:tentative="0">
      <w:start w:val="1"/>
      <w:numFmt w:val="decimal"/>
      <w:pStyle w:val="45"/>
      <w:suff w:val="nothing"/>
      <w:lvlText w:val="%1%2.%3.%4.%5　"/>
      <w:lvlJc w:val="left"/>
      <w:rPr>
        <w:rFonts w:hint="eastAsia" w:ascii="黑体" w:hAnsi="Times New Roman" w:eastAsia="黑体"/>
        <w:b w:val="0"/>
        <w:bCs w:val="0"/>
        <w:i w:val="0"/>
        <w:iCs w:val="0"/>
        <w:sz w:val="21"/>
        <w:szCs w:val="21"/>
      </w:rPr>
    </w:lvl>
    <w:lvl w:ilvl="5" w:tentative="0">
      <w:start w:val="1"/>
      <w:numFmt w:val="decimal"/>
      <w:pStyle w:val="46"/>
      <w:suff w:val="nothing"/>
      <w:lvlText w:val="%1%2.%3.%4.%5.%6　"/>
      <w:lvlJc w:val="left"/>
      <w:rPr>
        <w:rFonts w:hint="eastAsia" w:ascii="黑体" w:hAnsi="Times New Roman" w:eastAsia="黑体"/>
        <w:b w:val="0"/>
        <w:bCs w:val="0"/>
        <w:i w:val="0"/>
        <w:iCs w:val="0"/>
        <w:sz w:val="21"/>
        <w:szCs w:val="21"/>
      </w:rPr>
    </w:lvl>
    <w:lvl w:ilvl="6" w:tentative="0">
      <w:start w:val="1"/>
      <w:numFmt w:val="decimal"/>
      <w:pStyle w:val="47"/>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B7"/>
    <w:rsid w:val="00001854"/>
    <w:rsid w:val="00002063"/>
    <w:rsid w:val="00002141"/>
    <w:rsid w:val="000024BD"/>
    <w:rsid w:val="00004277"/>
    <w:rsid w:val="000066EC"/>
    <w:rsid w:val="00007BC7"/>
    <w:rsid w:val="00007E6A"/>
    <w:rsid w:val="00012738"/>
    <w:rsid w:val="00014801"/>
    <w:rsid w:val="00016057"/>
    <w:rsid w:val="00023203"/>
    <w:rsid w:val="00023777"/>
    <w:rsid w:val="00023CC4"/>
    <w:rsid w:val="000257D5"/>
    <w:rsid w:val="00026F82"/>
    <w:rsid w:val="00034798"/>
    <w:rsid w:val="00034DE8"/>
    <w:rsid w:val="00036094"/>
    <w:rsid w:val="00036B6D"/>
    <w:rsid w:val="0004140B"/>
    <w:rsid w:val="00043312"/>
    <w:rsid w:val="0004337D"/>
    <w:rsid w:val="00043D7E"/>
    <w:rsid w:val="00045B5A"/>
    <w:rsid w:val="000466A1"/>
    <w:rsid w:val="000477F4"/>
    <w:rsid w:val="000479EB"/>
    <w:rsid w:val="00050F84"/>
    <w:rsid w:val="00057AF1"/>
    <w:rsid w:val="000608AB"/>
    <w:rsid w:val="00061517"/>
    <w:rsid w:val="00061ED2"/>
    <w:rsid w:val="00062951"/>
    <w:rsid w:val="00064C1E"/>
    <w:rsid w:val="000658A7"/>
    <w:rsid w:val="000658E2"/>
    <w:rsid w:val="000663E8"/>
    <w:rsid w:val="00067984"/>
    <w:rsid w:val="0007035A"/>
    <w:rsid w:val="00072D8E"/>
    <w:rsid w:val="000737C4"/>
    <w:rsid w:val="00073979"/>
    <w:rsid w:val="00073E2C"/>
    <w:rsid w:val="00074153"/>
    <w:rsid w:val="00074850"/>
    <w:rsid w:val="0007646F"/>
    <w:rsid w:val="0007749F"/>
    <w:rsid w:val="00077946"/>
    <w:rsid w:val="00077C9D"/>
    <w:rsid w:val="00077F39"/>
    <w:rsid w:val="000804BC"/>
    <w:rsid w:val="00081AAC"/>
    <w:rsid w:val="000835C8"/>
    <w:rsid w:val="00083D93"/>
    <w:rsid w:val="00084154"/>
    <w:rsid w:val="00085E4A"/>
    <w:rsid w:val="000864A0"/>
    <w:rsid w:val="00086FA5"/>
    <w:rsid w:val="00092254"/>
    <w:rsid w:val="00092BBD"/>
    <w:rsid w:val="000938E0"/>
    <w:rsid w:val="00093E72"/>
    <w:rsid w:val="00096AF9"/>
    <w:rsid w:val="00096E60"/>
    <w:rsid w:val="000A066D"/>
    <w:rsid w:val="000A5D7D"/>
    <w:rsid w:val="000A636C"/>
    <w:rsid w:val="000A7D88"/>
    <w:rsid w:val="000B0650"/>
    <w:rsid w:val="000B0AD9"/>
    <w:rsid w:val="000B0E89"/>
    <w:rsid w:val="000B2728"/>
    <w:rsid w:val="000B4251"/>
    <w:rsid w:val="000B485A"/>
    <w:rsid w:val="000B55FB"/>
    <w:rsid w:val="000B56B9"/>
    <w:rsid w:val="000B7065"/>
    <w:rsid w:val="000B72D6"/>
    <w:rsid w:val="000C21B4"/>
    <w:rsid w:val="000C2361"/>
    <w:rsid w:val="000C27A2"/>
    <w:rsid w:val="000C322F"/>
    <w:rsid w:val="000C54B3"/>
    <w:rsid w:val="000C58AD"/>
    <w:rsid w:val="000C7903"/>
    <w:rsid w:val="000D1757"/>
    <w:rsid w:val="000D3035"/>
    <w:rsid w:val="000D3863"/>
    <w:rsid w:val="000D57C0"/>
    <w:rsid w:val="000D602C"/>
    <w:rsid w:val="000D6880"/>
    <w:rsid w:val="000D748E"/>
    <w:rsid w:val="000D7598"/>
    <w:rsid w:val="000E1754"/>
    <w:rsid w:val="000E1D0F"/>
    <w:rsid w:val="000E33F1"/>
    <w:rsid w:val="000E6232"/>
    <w:rsid w:val="000E75F0"/>
    <w:rsid w:val="000F0044"/>
    <w:rsid w:val="000F0AB7"/>
    <w:rsid w:val="000F1786"/>
    <w:rsid w:val="000F198D"/>
    <w:rsid w:val="000F250D"/>
    <w:rsid w:val="000F2B90"/>
    <w:rsid w:val="000F52A6"/>
    <w:rsid w:val="000F628B"/>
    <w:rsid w:val="001003DE"/>
    <w:rsid w:val="00101692"/>
    <w:rsid w:val="00103416"/>
    <w:rsid w:val="00104FD5"/>
    <w:rsid w:val="0010660F"/>
    <w:rsid w:val="001066C8"/>
    <w:rsid w:val="00107F7E"/>
    <w:rsid w:val="001113D3"/>
    <w:rsid w:val="0011174B"/>
    <w:rsid w:val="00112CAF"/>
    <w:rsid w:val="00112E24"/>
    <w:rsid w:val="00113C9A"/>
    <w:rsid w:val="00114E34"/>
    <w:rsid w:val="00116811"/>
    <w:rsid w:val="00116D71"/>
    <w:rsid w:val="00117218"/>
    <w:rsid w:val="00117963"/>
    <w:rsid w:val="001226C8"/>
    <w:rsid w:val="0012298B"/>
    <w:rsid w:val="00122F33"/>
    <w:rsid w:val="001239F5"/>
    <w:rsid w:val="00123F04"/>
    <w:rsid w:val="00126129"/>
    <w:rsid w:val="00132320"/>
    <w:rsid w:val="00132ADB"/>
    <w:rsid w:val="00134B1C"/>
    <w:rsid w:val="00136572"/>
    <w:rsid w:val="00136998"/>
    <w:rsid w:val="00140153"/>
    <w:rsid w:val="00143A8B"/>
    <w:rsid w:val="00144A45"/>
    <w:rsid w:val="001456D0"/>
    <w:rsid w:val="00145D9E"/>
    <w:rsid w:val="001500D6"/>
    <w:rsid w:val="00150208"/>
    <w:rsid w:val="001507D8"/>
    <w:rsid w:val="00150ED0"/>
    <w:rsid w:val="00152583"/>
    <w:rsid w:val="00153607"/>
    <w:rsid w:val="00153999"/>
    <w:rsid w:val="00155020"/>
    <w:rsid w:val="00155A70"/>
    <w:rsid w:val="001560DA"/>
    <w:rsid w:val="00160060"/>
    <w:rsid w:val="00161C21"/>
    <w:rsid w:val="00161D6C"/>
    <w:rsid w:val="001632AB"/>
    <w:rsid w:val="00167D30"/>
    <w:rsid w:val="00167DF7"/>
    <w:rsid w:val="00171591"/>
    <w:rsid w:val="00171E40"/>
    <w:rsid w:val="00172F6B"/>
    <w:rsid w:val="001736DC"/>
    <w:rsid w:val="0017381A"/>
    <w:rsid w:val="00173AE2"/>
    <w:rsid w:val="00174762"/>
    <w:rsid w:val="00174BD1"/>
    <w:rsid w:val="001760BC"/>
    <w:rsid w:val="0017791E"/>
    <w:rsid w:val="00181295"/>
    <w:rsid w:val="00181658"/>
    <w:rsid w:val="0018210A"/>
    <w:rsid w:val="001822C0"/>
    <w:rsid w:val="00185392"/>
    <w:rsid w:val="00187B94"/>
    <w:rsid w:val="001901F2"/>
    <w:rsid w:val="001961FC"/>
    <w:rsid w:val="00196491"/>
    <w:rsid w:val="0019686D"/>
    <w:rsid w:val="00197756"/>
    <w:rsid w:val="00197B9F"/>
    <w:rsid w:val="001A0467"/>
    <w:rsid w:val="001A1C8A"/>
    <w:rsid w:val="001A1D0E"/>
    <w:rsid w:val="001A3D9D"/>
    <w:rsid w:val="001A4FAB"/>
    <w:rsid w:val="001A500C"/>
    <w:rsid w:val="001A5137"/>
    <w:rsid w:val="001A74E9"/>
    <w:rsid w:val="001B0733"/>
    <w:rsid w:val="001B0F7A"/>
    <w:rsid w:val="001B38C5"/>
    <w:rsid w:val="001B4ED5"/>
    <w:rsid w:val="001B50CF"/>
    <w:rsid w:val="001B5121"/>
    <w:rsid w:val="001B7027"/>
    <w:rsid w:val="001B72A2"/>
    <w:rsid w:val="001C138A"/>
    <w:rsid w:val="001C159A"/>
    <w:rsid w:val="001C2CAE"/>
    <w:rsid w:val="001C3CB6"/>
    <w:rsid w:val="001D1341"/>
    <w:rsid w:val="001D198D"/>
    <w:rsid w:val="001D1B87"/>
    <w:rsid w:val="001D34DA"/>
    <w:rsid w:val="001D414C"/>
    <w:rsid w:val="001D4EAE"/>
    <w:rsid w:val="001D764A"/>
    <w:rsid w:val="001E0082"/>
    <w:rsid w:val="001E05CC"/>
    <w:rsid w:val="001E14C9"/>
    <w:rsid w:val="001E331F"/>
    <w:rsid w:val="001E61F3"/>
    <w:rsid w:val="001E6335"/>
    <w:rsid w:val="001E6A0A"/>
    <w:rsid w:val="001E6FDC"/>
    <w:rsid w:val="001F4475"/>
    <w:rsid w:val="001F7C6F"/>
    <w:rsid w:val="00200609"/>
    <w:rsid w:val="0020282D"/>
    <w:rsid w:val="0020336F"/>
    <w:rsid w:val="00203733"/>
    <w:rsid w:val="00203FE4"/>
    <w:rsid w:val="00206C28"/>
    <w:rsid w:val="00207522"/>
    <w:rsid w:val="0021093F"/>
    <w:rsid w:val="00212447"/>
    <w:rsid w:val="00214CBA"/>
    <w:rsid w:val="00216060"/>
    <w:rsid w:val="0021621F"/>
    <w:rsid w:val="00217C1B"/>
    <w:rsid w:val="002216F3"/>
    <w:rsid w:val="00225CAD"/>
    <w:rsid w:val="00226A8C"/>
    <w:rsid w:val="00227356"/>
    <w:rsid w:val="00227E8E"/>
    <w:rsid w:val="002315EF"/>
    <w:rsid w:val="002322C8"/>
    <w:rsid w:val="00233051"/>
    <w:rsid w:val="00234389"/>
    <w:rsid w:val="002346F6"/>
    <w:rsid w:val="002372F7"/>
    <w:rsid w:val="002376AD"/>
    <w:rsid w:val="00237C04"/>
    <w:rsid w:val="00237F4C"/>
    <w:rsid w:val="00240474"/>
    <w:rsid w:val="00240B70"/>
    <w:rsid w:val="00241305"/>
    <w:rsid w:val="00243EFA"/>
    <w:rsid w:val="00244309"/>
    <w:rsid w:val="00244C6A"/>
    <w:rsid w:val="00246034"/>
    <w:rsid w:val="00250AB4"/>
    <w:rsid w:val="002516F2"/>
    <w:rsid w:val="002529CB"/>
    <w:rsid w:val="00253EC6"/>
    <w:rsid w:val="002550DA"/>
    <w:rsid w:val="00257220"/>
    <w:rsid w:val="00261B6B"/>
    <w:rsid w:val="0026242E"/>
    <w:rsid w:val="002637F2"/>
    <w:rsid w:val="00264C1D"/>
    <w:rsid w:val="002673AD"/>
    <w:rsid w:val="002675DF"/>
    <w:rsid w:val="0026796D"/>
    <w:rsid w:val="00270B13"/>
    <w:rsid w:val="00270D48"/>
    <w:rsid w:val="00271379"/>
    <w:rsid w:val="00275738"/>
    <w:rsid w:val="00275CDC"/>
    <w:rsid w:val="002767FE"/>
    <w:rsid w:val="002779EB"/>
    <w:rsid w:val="0028081D"/>
    <w:rsid w:val="00281515"/>
    <w:rsid w:val="002827CC"/>
    <w:rsid w:val="002848F8"/>
    <w:rsid w:val="00285628"/>
    <w:rsid w:val="0028567D"/>
    <w:rsid w:val="00286A1F"/>
    <w:rsid w:val="00286C2B"/>
    <w:rsid w:val="00291149"/>
    <w:rsid w:val="0029373A"/>
    <w:rsid w:val="00293C9D"/>
    <w:rsid w:val="00294028"/>
    <w:rsid w:val="002940FC"/>
    <w:rsid w:val="00294164"/>
    <w:rsid w:val="0029455A"/>
    <w:rsid w:val="00294586"/>
    <w:rsid w:val="00296294"/>
    <w:rsid w:val="00296BAB"/>
    <w:rsid w:val="002A23F7"/>
    <w:rsid w:val="002A3169"/>
    <w:rsid w:val="002A3265"/>
    <w:rsid w:val="002A4570"/>
    <w:rsid w:val="002A4B9E"/>
    <w:rsid w:val="002A62F7"/>
    <w:rsid w:val="002A6415"/>
    <w:rsid w:val="002A75E8"/>
    <w:rsid w:val="002A7A27"/>
    <w:rsid w:val="002B07CC"/>
    <w:rsid w:val="002B1655"/>
    <w:rsid w:val="002B22C7"/>
    <w:rsid w:val="002B3B5C"/>
    <w:rsid w:val="002B4F0D"/>
    <w:rsid w:val="002B78A5"/>
    <w:rsid w:val="002C0360"/>
    <w:rsid w:val="002C08AC"/>
    <w:rsid w:val="002C0FE2"/>
    <w:rsid w:val="002C1642"/>
    <w:rsid w:val="002C2B55"/>
    <w:rsid w:val="002C3279"/>
    <w:rsid w:val="002C378F"/>
    <w:rsid w:val="002C45D1"/>
    <w:rsid w:val="002C5F49"/>
    <w:rsid w:val="002C69F3"/>
    <w:rsid w:val="002D0ACC"/>
    <w:rsid w:val="002D10E1"/>
    <w:rsid w:val="002D27C1"/>
    <w:rsid w:val="002D4A4C"/>
    <w:rsid w:val="002D5999"/>
    <w:rsid w:val="002E1320"/>
    <w:rsid w:val="002E3DC3"/>
    <w:rsid w:val="002E4678"/>
    <w:rsid w:val="002E573A"/>
    <w:rsid w:val="002E5D44"/>
    <w:rsid w:val="002E7A31"/>
    <w:rsid w:val="002F14D0"/>
    <w:rsid w:val="002F21DE"/>
    <w:rsid w:val="002F4F60"/>
    <w:rsid w:val="002F560D"/>
    <w:rsid w:val="002F5696"/>
    <w:rsid w:val="002F5EEF"/>
    <w:rsid w:val="002F6075"/>
    <w:rsid w:val="002F63A0"/>
    <w:rsid w:val="002F6BCC"/>
    <w:rsid w:val="002F7F19"/>
    <w:rsid w:val="0030077F"/>
    <w:rsid w:val="0030138C"/>
    <w:rsid w:val="003038B2"/>
    <w:rsid w:val="00303FDD"/>
    <w:rsid w:val="00305D95"/>
    <w:rsid w:val="00305EFA"/>
    <w:rsid w:val="00310A3C"/>
    <w:rsid w:val="00311DD7"/>
    <w:rsid w:val="0031235E"/>
    <w:rsid w:val="00313419"/>
    <w:rsid w:val="003137A9"/>
    <w:rsid w:val="003143CC"/>
    <w:rsid w:val="003149A9"/>
    <w:rsid w:val="00317893"/>
    <w:rsid w:val="00317FCF"/>
    <w:rsid w:val="00320B6E"/>
    <w:rsid w:val="00320F07"/>
    <w:rsid w:val="003227E1"/>
    <w:rsid w:val="003229E7"/>
    <w:rsid w:val="00323A0F"/>
    <w:rsid w:val="00324C03"/>
    <w:rsid w:val="003257DB"/>
    <w:rsid w:val="00326235"/>
    <w:rsid w:val="003272FF"/>
    <w:rsid w:val="0032739A"/>
    <w:rsid w:val="003278C2"/>
    <w:rsid w:val="00327E2D"/>
    <w:rsid w:val="003320A8"/>
    <w:rsid w:val="00334C48"/>
    <w:rsid w:val="003372C8"/>
    <w:rsid w:val="00340E31"/>
    <w:rsid w:val="00342F36"/>
    <w:rsid w:val="00343ABE"/>
    <w:rsid w:val="003441A6"/>
    <w:rsid w:val="00344F8B"/>
    <w:rsid w:val="0034726A"/>
    <w:rsid w:val="003479E9"/>
    <w:rsid w:val="00347C47"/>
    <w:rsid w:val="003522A1"/>
    <w:rsid w:val="00352427"/>
    <w:rsid w:val="0035370A"/>
    <w:rsid w:val="00355B58"/>
    <w:rsid w:val="00355CA6"/>
    <w:rsid w:val="00357060"/>
    <w:rsid w:val="00357549"/>
    <w:rsid w:val="00357708"/>
    <w:rsid w:val="00360471"/>
    <w:rsid w:val="00360E53"/>
    <w:rsid w:val="0036255A"/>
    <w:rsid w:val="003625D6"/>
    <w:rsid w:val="00362AAE"/>
    <w:rsid w:val="00366094"/>
    <w:rsid w:val="003668F4"/>
    <w:rsid w:val="00367157"/>
    <w:rsid w:val="00367691"/>
    <w:rsid w:val="003709AC"/>
    <w:rsid w:val="00372DDD"/>
    <w:rsid w:val="00372F87"/>
    <w:rsid w:val="00373F81"/>
    <w:rsid w:val="003753C1"/>
    <w:rsid w:val="00376353"/>
    <w:rsid w:val="00376397"/>
    <w:rsid w:val="003765CC"/>
    <w:rsid w:val="00377FDD"/>
    <w:rsid w:val="00381499"/>
    <w:rsid w:val="00381887"/>
    <w:rsid w:val="003829EA"/>
    <w:rsid w:val="00383996"/>
    <w:rsid w:val="00384A3E"/>
    <w:rsid w:val="00385A7D"/>
    <w:rsid w:val="00386196"/>
    <w:rsid w:val="00386B35"/>
    <w:rsid w:val="00387609"/>
    <w:rsid w:val="0039063E"/>
    <w:rsid w:val="00390F59"/>
    <w:rsid w:val="0039130B"/>
    <w:rsid w:val="00391710"/>
    <w:rsid w:val="003917BB"/>
    <w:rsid w:val="00391EB7"/>
    <w:rsid w:val="0039203B"/>
    <w:rsid w:val="003920AD"/>
    <w:rsid w:val="00392628"/>
    <w:rsid w:val="003929CA"/>
    <w:rsid w:val="00392BB4"/>
    <w:rsid w:val="00393A44"/>
    <w:rsid w:val="00393B36"/>
    <w:rsid w:val="003947C6"/>
    <w:rsid w:val="00394930"/>
    <w:rsid w:val="003952B7"/>
    <w:rsid w:val="00396BD4"/>
    <w:rsid w:val="00396C89"/>
    <w:rsid w:val="00396EAD"/>
    <w:rsid w:val="003A28FD"/>
    <w:rsid w:val="003A74C8"/>
    <w:rsid w:val="003B0424"/>
    <w:rsid w:val="003B0E70"/>
    <w:rsid w:val="003B2353"/>
    <w:rsid w:val="003B3FAD"/>
    <w:rsid w:val="003B63C5"/>
    <w:rsid w:val="003B7768"/>
    <w:rsid w:val="003C1485"/>
    <w:rsid w:val="003C1BBF"/>
    <w:rsid w:val="003C1E75"/>
    <w:rsid w:val="003C423E"/>
    <w:rsid w:val="003C4CD6"/>
    <w:rsid w:val="003C60E3"/>
    <w:rsid w:val="003D5C75"/>
    <w:rsid w:val="003E3003"/>
    <w:rsid w:val="003E35E0"/>
    <w:rsid w:val="003E6AEC"/>
    <w:rsid w:val="003F013D"/>
    <w:rsid w:val="003F1588"/>
    <w:rsid w:val="003F299C"/>
    <w:rsid w:val="004004C4"/>
    <w:rsid w:val="004025BD"/>
    <w:rsid w:val="00402B0E"/>
    <w:rsid w:val="00404EBF"/>
    <w:rsid w:val="004069B7"/>
    <w:rsid w:val="004105A0"/>
    <w:rsid w:val="00410A44"/>
    <w:rsid w:val="00413224"/>
    <w:rsid w:val="00416235"/>
    <w:rsid w:val="0041662B"/>
    <w:rsid w:val="00416D0E"/>
    <w:rsid w:val="004200C8"/>
    <w:rsid w:val="00420434"/>
    <w:rsid w:val="00420C83"/>
    <w:rsid w:val="004229BB"/>
    <w:rsid w:val="00423812"/>
    <w:rsid w:val="00424072"/>
    <w:rsid w:val="00424AAB"/>
    <w:rsid w:val="00425004"/>
    <w:rsid w:val="00425297"/>
    <w:rsid w:val="00425E6A"/>
    <w:rsid w:val="00426929"/>
    <w:rsid w:val="00431628"/>
    <w:rsid w:val="00431F36"/>
    <w:rsid w:val="00433BDC"/>
    <w:rsid w:val="00435077"/>
    <w:rsid w:val="00435F4B"/>
    <w:rsid w:val="004368CE"/>
    <w:rsid w:val="00436908"/>
    <w:rsid w:val="00436CAF"/>
    <w:rsid w:val="00437B04"/>
    <w:rsid w:val="004410C4"/>
    <w:rsid w:val="004442CE"/>
    <w:rsid w:val="00452B5F"/>
    <w:rsid w:val="00456B90"/>
    <w:rsid w:val="00456E4B"/>
    <w:rsid w:val="004571CD"/>
    <w:rsid w:val="004653A2"/>
    <w:rsid w:val="00466190"/>
    <w:rsid w:val="004665C5"/>
    <w:rsid w:val="00470869"/>
    <w:rsid w:val="0047130A"/>
    <w:rsid w:val="00472066"/>
    <w:rsid w:val="00472711"/>
    <w:rsid w:val="00472A8E"/>
    <w:rsid w:val="004744D9"/>
    <w:rsid w:val="004757A2"/>
    <w:rsid w:val="00475C90"/>
    <w:rsid w:val="004766B4"/>
    <w:rsid w:val="00476B86"/>
    <w:rsid w:val="00480A47"/>
    <w:rsid w:val="00482CB6"/>
    <w:rsid w:val="004832A9"/>
    <w:rsid w:val="004867B3"/>
    <w:rsid w:val="00487691"/>
    <w:rsid w:val="00494928"/>
    <w:rsid w:val="00494FAA"/>
    <w:rsid w:val="004965DE"/>
    <w:rsid w:val="0049788E"/>
    <w:rsid w:val="004A1BED"/>
    <w:rsid w:val="004A2531"/>
    <w:rsid w:val="004A3056"/>
    <w:rsid w:val="004A58B7"/>
    <w:rsid w:val="004A6DD0"/>
    <w:rsid w:val="004B1F9F"/>
    <w:rsid w:val="004B322B"/>
    <w:rsid w:val="004B3C0B"/>
    <w:rsid w:val="004B52EE"/>
    <w:rsid w:val="004C27FE"/>
    <w:rsid w:val="004C348F"/>
    <w:rsid w:val="004C5F93"/>
    <w:rsid w:val="004C60DE"/>
    <w:rsid w:val="004D27E2"/>
    <w:rsid w:val="004D5E27"/>
    <w:rsid w:val="004D62B8"/>
    <w:rsid w:val="004D6999"/>
    <w:rsid w:val="004D6A81"/>
    <w:rsid w:val="004D6E2C"/>
    <w:rsid w:val="004D7263"/>
    <w:rsid w:val="004D7D18"/>
    <w:rsid w:val="004D7E3F"/>
    <w:rsid w:val="004E086D"/>
    <w:rsid w:val="004E0DC0"/>
    <w:rsid w:val="004E40A7"/>
    <w:rsid w:val="004E4A93"/>
    <w:rsid w:val="004E5DA7"/>
    <w:rsid w:val="004E7058"/>
    <w:rsid w:val="004E79F2"/>
    <w:rsid w:val="004F0815"/>
    <w:rsid w:val="004F2B4B"/>
    <w:rsid w:val="004F3FEF"/>
    <w:rsid w:val="004F45FB"/>
    <w:rsid w:val="004F4CA3"/>
    <w:rsid w:val="004F5006"/>
    <w:rsid w:val="004F6E7D"/>
    <w:rsid w:val="004F74C2"/>
    <w:rsid w:val="004F77D1"/>
    <w:rsid w:val="004F7939"/>
    <w:rsid w:val="00505A7E"/>
    <w:rsid w:val="00506932"/>
    <w:rsid w:val="00510B75"/>
    <w:rsid w:val="0051237C"/>
    <w:rsid w:val="005149FF"/>
    <w:rsid w:val="00515276"/>
    <w:rsid w:val="00520FCE"/>
    <w:rsid w:val="0052496A"/>
    <w:rsid w:val="005257C5"/>
    <w:rsid w:val="00526D8C"/>
    <w:rsid w:val="00527A83"/>
    <w:rsid w:val="00533F1A"/>
    <w:rsid w:val="005340AB"/>
    <w:rsid w:val="00534254"/>
    <w:rsid w:val="005348FA"/>
    <w:rsid w:val="005354D1"/>
    <w:rsid w:val="00536389"/>
    <w:rsid w:val="005368E1"/>
    <w:rsid w:val="00542288"/>
    <w:rsid w:val="00543568"/>
    <w:rsid w:val="00550545"/>
    <w:rsid w:val="00550836"/>
    <w:rsid w:val="0055140A"/>
    <w:rsid w:val="00551954"/>
    <w:rsid w:val="005531E4"/>
    <w:rsid w:val="00553E2E"/>
    <w:rsid w:val="005547F4"/>
    <w:rsid w:val="005561BD"/>
    <w:rsid w:val="005571E4"/>
    <w:rsid w:val="00557242"/>
    <w:rsid w:val="005574E7"/>
    <w:rsid w:val="00557C1F"/>
    <w:rsid w:val="00557F94"/>
    <w:rsid w:val="005610B4"/>
    <w:rsid w:val="0056184F"/>
    <w:rsid w:val="00561875"/>
    <w:rsid w:val="00562789"/>
    <w:rsid w:val="005628B5"/>
    <w:rsid w:val="005630B9"/>
    <w:rsid w:val="00563DFF"/>
    <w:rsid w:val="00564153"/>
    <w:rsid w:val="0057034B"/>
    <w:rsid w:val="00570CCC"/>
    <w:rsid w:val="0057137D"/>
    <w:rsid w:val="00573311"/>
    <w:rsid w:val="00574F38"/>
    <w:rsid w:val="00575FB1"/>
    <w:rsid w:val="00580A7E"/>
    <w:rsid w:val="00580E85"/>
    <w:rsid w:val="005819DF"/>
    <w:rsid w:val="00582165"/>
    <w:rsid w:val="00586222"/>
    <w:rsid w:val="00590752"/>
    <w:rsid w:val="00591368"/>
    <w:rsid w:val="00591F36"/>
    <w:rsid w:val="005930FB"/>
    <w:rsid w:val="005944D3"/>
    <w:rsid w:val="00594D73"/>
    <w:rsid w:val="00595719"/>
    <w:rsid w:val="00595F28"/>
    <w:rsid w:val="005A2499"/>
    <w:rsid w:val="005A3395"/>
    <w:rsid w:val="005A381E"/>
    <w:rsid w:val="005A43C0"/>
    <w:rsid w:val="005A5EA2"/>
    <w:rsid w:val="005A604E"/>
    <w:rsid w:val="005A66F2"/>
    <w:rsid w:val="005A6A18"/>
    <w:rsid w:val="005B2742"/>
    <w:rsid w:val="005B28DF"/>
    <w:rsid w:val="005B2A55"/>
    <w:rsid w:val="005B3227"/>
    <w:rsid w:val="005B33C0"/>
    <w:rsid w:val="005B48D5"/>
    <w:rsid w:val="005B7263"/>
    <w:rsid w:val="005C034C"/>
    <w:rsid w:val="005C28C0"/>
    <w:rsid w:val="005C4B4D"/>
    <w:rsid w:val="005C5195"/>
    <w:rsid w:val="005D0308"/>
    <w:rsid w:val="005D4A80"/>
    <w:rsid w:val="005D4E76"/>
    <w:rsid w:val="005D50EF"/>
    <w:rsid w:val="005D549A"/>
    <w:rsid w:val="005D5BF5"/>
    <w:rsid w:val="005D5E27"/>
    <w:rsid w:val="005D680F"/>
    <w:rsid w:val="005D6852"/>
    <w:rsid w:val="005D6D19"/>
    <w:rsid w:val="005E0593"/>
    <w:rsid w:val="005E2971"/>
    <w:rsid w:val="005E453D"/>
    <w:rsid w:val="005E6EAF"/>
    <w:rsid w:val="005F3250"/>
    <w:rsid w:val="005F51B4"/>
    <w:rsid w:val="005F5A44"/>
    <w:rsid w:val="005F6AA2"/>
    <w:rsid w:val="005F6B62"/>
    <w:rsid w:val="0060005A"/>
    <w:rsid w:val="00602DAE"/>
    <w:rsid w:val="00603418"/>
    <w:rsid w:val="006039DE"/>
    <w:rsid w:val="006070FD"/>
    <w:rsid w:val="00610DC2"/>
    <w:rsid w:val="00611A38"/>
    <w:rsid w:val="00612398"/>
    <w:rsid w:val="00615185"/>
    <w:rsid w:val="00615313"/>
    <w:rsid w:val="006171DA"/>
    <w:rsid w:val="00617F51"/>
    <w:rsid w:val="006211BC"/>
    <w:rsid w:val="00621ED7"/>
    <w:rsid w:val="00624378"/>
    <w:rsid w:val="0062578E"/>
    <w:rsid w:val="0062590A"/>
    <w:rsid w:val="00627AE1"/>
    <w:rsid w:val="00632F47"/>
    <w:rsid w:val="00632FD8"/>
    <w:rsid w:val="00635B62"/>
    <w:rsid w:val="006366A2"/>
    <w:rsid w:val="0063744E"/>
    <w:rsid w:val="0064252B"/>
    <w:rsid w:val="00645355"/>
    <w:rsid w:val="00651418"/>
    <w:rsid w:val="006515BE"/>
    <w:rsid w:val="0065160E"/>
    <w:rsid w:val="00652B2B"/>
    <w:rsid w:val="00652F1E"/>
    <w:rsid w:val="00653FFA"/>
    <w:rsid w:val="006546AF"/>
    <w:rsid w:val="00657EBA"/>
    <w:rsid w:val="006629C4"/>
    <w:rsid w:val="00664121"/>
    <w:rsid w:val="00664157"/>
    <w:rsid w:val="006643F5"/>
    <w:rsid w:val="00667660"/>
    <w:rsid w:val="00667797"/>
    <w:rsid w:val="006705E8"/>
    <w:rsid w:val="00670B3E"/>
    <w:rsid w:val="0067191B"/>
    <w:rsid w:val="00671B6E"/>
    <w:rsid w:val="00673747"/>
    <w:rsid w:val="00674517"/>
    <w:rsid w:val="006745AF"/>
    <w:rsid w:val="00676057"/>
    <w:rsid w:val="00681EE4"/>
    <w:rsid w:val="00685157"/>
    <w:rsid w:val="00685AF4"/>
    <w:rsid w:val="006860D4"/>
    <w:rsid w:val="00687201"/>
    <w:rsid w:val="0069228E"/>
    <w:rsid w:val="006944B8"/>
    <w:rsid w:val="00694865"/>
    <w:rsid w:val="00695DF6"/>
    <w:rsid w:val="006961F7"/>
    <w:rsid w:val="00696AEF"/>
    <w:rsid w:val="006A07C0"/>
    <w:rsid w:val="006A14E3"/>
    <w:rsid w:val="006A1FE6"/>
    <w:rsid w:val="006A23A4"/>
    <w:rsid w:val="006A2CEE"/>
    <w:rsid w:val="006A312A"/>
    <w:rsid w:val="006A49C7"/>
    <w:rsid w:val="006A5F38"/>
    <w:rsid w:val="006A7A00"/>
    <w:rsid w:val="006B09D4"/>
    <w:rsid w:val="006B0C14"/>
    <w:rsid w:val="006B2A9F"/>
    <w:rsid w:val="006B31E2"/>
    <w:rsid w:val="006B4032"/>
    <w:rsid w:val="006B485B"/>
    <w:rsid w:val="006B4AAB"/>
    <w:rsid w:val="006B5478"/>
    <w:rsid w:val="006B6A03"/>
    <w:rsid w:val="006B7230"/>
    <w:rsid w:val="006B79B5"/>
    <w:rsid w:val="006C01CF"/>
    <w:rsid w:val="006C18FD"/>
    <w:rsid w:val="006C1A16"/>
    <w:rsid w:val="006C286F"/>
    <w:rsid w:val="006C288D"/>
    <w:rsid w:val="006C30FF"/>
    <w:rsid w:val="006C3B2C"/>
    <w:rsid w:val="006C4479"/>
    <w:rsid w:val="006D07E0"/>
    <w:rsid w:val="006D38F0"/>
    <w:rsid w:val="006D4DA3"/>
    <w:rsid w:val="006D5B08"/>
    <w:rsid w:val="006D5E49"/>
    <w:rsid w:val="006D703E"/>
    <w:rsid w:val="006E1327"/>
    <w:rsid w:val="006E1757"/>
    <w:rsid w:val="006E60B1"/>
    <w:rsid w:val="006E6DC6"/>
    <w:rsid w:val="006F2C38"/>
    <w:rsid w:val="006F2E4C"/>
    <w:rsid w:val="006F3A82"/>
    <w:rsid w:val="006F46B6"/>
    <w:rsid w:val="006F5AC2"/>
    <w:rsid w:val="006F62F8"/>
    <w:rsid w:val="006F6A3D"/>
    <w:rsid w:val="007003DA"/>
    <w:rsid w:val="0070081C"/>
    <w:rsid w:val="00701C04"/>
    <w:rsid w:val="00702E2E"/>
    <w:rsid w:val="00703396"/>
    <w:rsid w:val="00704805"/>
    <w:rsid w:val="00705B13"/>
    <w:rsid w:val="00705E7A"/>
    <w:rsid w:val="007066AA"/>
    <w:rsid w:val="00707D91"/>
    <w:rsid w:val="00711FEB"/>
    <w:rsid w:val="00720045"/>
    <w:rsid w:val="007202A6"/>
    <w:rsid w:val="00722397"/>
    <w:rsid w:val="007225CB"/>
    <w:rsid w:val="0072292C"/>
    <w:rsid w:val="00726584"/>
    <w:rsid w:val="007308F9"/>
    <w:rsid w:val="007313CC"/>
    <w:rsid w:val="00733071"/>
    <w:rsid w:val="0073448E"/>
    <w:rsid w:val="00736691"/>
    <w:rsid w:val="00736F3A"/>
    <w:rsid w:val="00740424"/>
    <w:rsid w:val="00740F20"/>
    <w:rsid w:val="00745EF6"/>
    <w:rsid w:val="007478D7"/>
    <w:rsid w:val="00752A3E"/>
    <w:rsid w:val="00753D36"/>
    <w:rsid w:val="0075460E"/>
    <w:rsid w:val="00754B2B"/>
    <w:rsid w:val="00754DAE"/>
    <w:rsid w:val="00755B47"/>
    <w:rsid w:val="0075637D"/>
    <w:rsid w:val="00757F59"/>
    <w:rsid w:val="00760187"/>
    <w:rsid w:val="00760361"/>
    <w:rsid w:val="00760C60"/>
    <w:rsid w:val="00761372"/>
    <w:rsid w:val="00762CFD"/>
    <w:rsid w:val="00763637"/>
    <w:rsid w:val="00764352"/>
    <w:rsid w:val="007660EC"/>
    <w:rsid w:val="00766ACD"/>
    <w:rsid w:val="007676EB"/>
    <w:rsid w:val="0077101D"/>
    <w:rsid w:val="0077363C"/>
    <w:rsid w:val="00773B0A"/>
    <w:rsid w:val="00774682"/>
    <w:rsid w:val="00774B1B"/>
    <w:rsid w:val="007759B8"/>
    <w:rsid w:val="007759FB"/>
    <w:rsid w:val="00775B92"/>
    <w:rsid w:val="00775E49"/>
    <w:rsid w:val="007778EF"/>
    <w:rsid w:val="0078025C"/>
    <w:rsid w:val="00780B31"/>
    <w:rsid w:val="00781C3E"/>
    <w:rsid w:val="0078266F"/>
    <w:rsid w:val="007848B1"/>
    <w:rsid w:val="00785A16"/>
    <w:rsid w:val="00790E80"/>
    <w:rsid w:val="007913D7"/>
    <w:rsid w:val="00791F76"/>
    <w:rsid w:val="0079203A"/>
    <w:rsid w:val="007922BA"/>
    <w:rsid w:val="0079280D"/>
    <w:rsid w:val="00793030"/>
    <w:rsid w:val="0079411D"/>
    <w:rsid w:val="00794472"/>
    <w:rsid w:val="007949C7"/>
    <w:rsid w:val="00794A40"/>
    <w:rsid w:val="0079586A"/>
    <w:rsid w:val="00796F10"/>
    <w:rsid w:val="0079766E"/>
    <w:rsid w:val="007A0B9E"/>
    <w:rsid w:val="007A2017"/>
    <w:rsid w:val="007A38D4"/>
    <w:rsid w:val="007A39EF"/>
    <w:rsid w:val="007A42CD"/>
    <w:rsid w:val="007A6491"/>
    <w:rsid w:val="007A7585"/>
    <w:rsid w:val="007B061E"/>
    <w:rsid w:val="007B1548"/>
    <w:rsid w:val="007B1F61"/>
    <w:rsid w:val="007B1FA1"/>
    <w:rsid w:val="007B374A"/>
    <w:rsid w:val="007B4433"/>
    <w:rsid w:val="007C05C0"/>
    <w:rsid w:val="007C19BE"/>
    <w:rsid w:val="007C2DD3"/>
    <w:rsid w:val="007C329B"/>
    <w:rsid w:val="007C3B20"/>
    <w:rsid w:val="007C4E2B"/>
    <w:rsid w:val="007C5A02"/>
    <w:rsid w:val="007C5B56"/>
    <w:rsid w:val="007C680F"/>
    <w:rsid w:val="007D1763"/>
    <w:rsid w:val="007D1E0E"/>
    <w:rsid w:val="007D2236"/>
    <w:rsid w:val="007D255C"/>
    <w:rsid w:val="007D2C99"/>
    <w:rsid w:val="007D47BF"/>
    <w:rsid w:val="007D61CC"/>
    <w:rsid w:val="007D6BC9"/>
    <w:rsid w:val="007D6E4F"/>
    <w:rsid w:val="007D7DA9"/>
    <w:rsid w:val="007E0313"/>
    <w:rsid w:val="007E25A5"/>
    <w:rsid w:val="007E473D"/>
    <w:rsid w:val="007E4C5A"/>
    <w:rsid w:val="007E584F"/>
    <w:rsid w:val="007E670A"/>
    <w:rsid w:val="007E6B68"/>
    <w:rsid w:val="007E7281"/>
    <w:rsid w:val="007F0122"/>
    <w:rsid w:val="007F0A66"/>
    <w:rsid w:val="007F63EC"/>
    <w:rsid w:val="007F6FB5"/>
    <w:rsid w:val="007F7FBE"/>
    <w:rsid w:val="007F7FF4"/>
    <w:rsid w:val="00800FF6"/>
    <w:rsid w:val="0080181A"/>
    <w:rsid w:val="00801F90"/>
    <w:rsid w:val="00802DF8"/>
    <w:rsid w:val="0080556B"/>
    <w:rsid w:val="00806AEB"/>
    <w:rsid w:val="00807347"/>
    <w:rsid w:val="008109E9"/>
    <w:rsid w:val="00810DA4"/>
    <w:rsid w:val="00812153"/>
    <w:rsid w:val="008126E2"/>
    <w:rsid w:val="00812CD5"/>
    <w:rsid w:val="0081336A"/>
    <w:rsid w:val="008146C5"/>
    <w:rsid w:val="00814A60"/>
    <w:rsid w:val="00814D50"/>
    <w:rsid w:val="008176D3"/>
    <w:rsid w:val="00821993"/>
    <w:rsid w:val="00825AFE"/>
    <w:rsid w:val="00826F9C"/>
    <w:rsid w:val="00827E39"/>
    <w:rsid w:val="008303E6"/>
    <w:rsid w:val="008304B1"/>
    <w:rsid w:val="00830BF7"/>
    <w:rsid w:val="0083148F"/>
    <w:rsid w:val="008318D3"/>
    <w:rsid w:val="0083210E"/>
    <w:rsid w:val="008328FF"/>
    <w:rsid w:val="00834B5E"/>
    <w:rsid w:val="00835A89"/>
    <w:rsid w:val="008368D4"/>
    <w:rsid w:val="00836980"/>
    <w:rsid w:val="00836CD2"/>
    <w:rsid w:val="008406F1"/>
    <w:rsid w:val="0084126E"/>
    <w:rsid w:val="00843E08"/>
    <w:rsid w:val="00843EDA"/>
    <w:rsid w:val="00843FD0"/>
    <w:rsid w:val="00844315"/>
    <w:rsid w:val="00844805"/>
    <w:rsid w:val="00844995"/>
    <w:rsid w:val="00846EF0"/>
    <w:rsid w:val="008471F9"/>
    <w:rsid w:val="008478F7"/>
    <w:rsid w:val="0085272A"/>
    <w:rsid w:val="00852D8B"/>
    <w:rsid w:val="00854653"/>
    <w:rsid w:val="0085587B"/>
    <w:rsid w:val="00855C73"/>
    <w:rsid w:val="00856456"/>
    <w:rsid w:val="0086050D"/>
    <w:rsid w:val="00861BDA"/>
    <w:rsid w:val="00863747"/>
    <w:rsid w:val="00871163"/>
    <w:rsid w:val="008714ED"/>
    <w:rsid w:val="00871AAF"/>
    <w:rsid w:val="00871E6E"/>
    <w:rsid w:val="00872C8D"/>
    <w:rsid w:val="0087314A"/>
    <w:rsid w:val="00874281"/>
    <w:rsid w:val="00874FAC"/>
    <w:rsid w:val="00875BA3"/>
    <w:rsid w:val="00876BF9"/>
    <w:rsid w:val="008775DB"/>
    <w:rsid w:val="00877B90"/>
    <w:rsid w:val="00882F0B"/>
    <w:rsid w:val="008836E2"/>
    <w:rsid w:val="00884750"/>
    <w:rsid w:val="008858D5"/>
    <w:rsid w:val="00886937"/>
    <w:rsid w:val="00890232"/>
    <w:rsid w:val="00890D7C"/>
    <w:rsid w:val="00891424"/>
    <w:rsid w:val="0089166B"/>
    <w:rsid w:val="008920ED"/>
    <w:rsid w:val="00895F26"/>
    <w:rsid w:val="0089691B"/>
    <w:rsid w:val="00896EC4"/>
    <w:rsid w:val="008A0171"/>
    <w:rsid w:val="008A30A4"/>
    <w:rsid w:val="008A4D0E"/>
    <w:rsid w:val="008A54ED"/>
    <w:rsid w:val="008A5527"/>
    <w:rsid w:val="008A7C33"/>
    <w:rsid w:val="008B0627"/>
    <w:rsid w:val="008B0EBF"/>
    <w:rsid w:val="008B2B82"/>
    <w:rsid w:val="008B2BB2"/>
    <w:rsid w:val="008B2FF6"/>
    <w:rsid w:val="008B34EA"/>
    <w:rsid w:val="008B700D"/>
    <w:rsid w:val="008C0DCD"/>
    <w:rsid w:val="008C1C2B"/>
    <w:rsid w:val="008C4501"/>
    <w:rsid w:val="008C6D0E"/>
    <w:rsid w:val="008D100E"/>
    <w:rsid w:val="008D2538"/>
    <w:rsid w:val="008D2EC5"/>
    <w:rsid w:val="008D3447"/>
    <w:rsid w:val="008D3C88"/>
    <w:rsid w:val="008D5328"/>
    <w:rsid w:val="008D5C06"/>
    <w:rsid w:val="008D7F08"/>
    <w:rsid w:val="008E03E5"/>
    <w:rsid w:val="008E106C"/>
    <w:rsid w:val="008E2192"/>
    <w:rsid w:val="008E2581"/>
    <w:rsid w:val="008E2645"/>
    <w:rsid w:val="008E48F7"/>
    <w:rsid w:val="008E4E1E"/>
    <w:rsid w:val="008E574C"/>
    <w:rsid w:val="008F000C"/>
    <w:rsid w:val="008F07C2"/>
    <w:rsid w:val="008F14BD"/>
    <w:rsid w:val="008F1C77"/>
    <w:rsid w:val="008F1F19"/>
    <w:rsid w:val="008F339F"/>
    <w:rsid w:val="008F33A7"/>
    <w:rsid w:val="008F4622"/>
    <w:rsid w:val="008F57EB"/>
    <w:rsid w:val="008F7170"/>
    <w:rsid w:val="00903DEC"/>
    <w:rsid w:val="00905D38"/>
    <w:rsid w:val="00906092"/>
    <w:rsid w:val="009110ED"/>
    <w:rsid w:val="009122A7"/>
    <w:rsid w:val="00913FAD"/>
    <w:rsid w:val="00917142"/>
    <w:rsid w:val="0092154B"/>
    <w:rsid w:val="00921C6F"/>
    <w:rsid w:val="0092522F"/>
    <w:rsid w:val="00926BFD"/>
    <w:rsid w:val="009273DA"/>
    <w:rsid w:val="00927CB5"/>
    <w:rsid w:val="00930177"/>
    <w:rsid w:val="009303B2"/>
    <w:rsid w:val="00931315"/>
    <w:rsid w:val="00931C8A"/>
    <w:rsid w:val="009334A1"/>
    <w:rsid w:val="009336BF"/>
    <w:rsid w:val="00934166"/>
    <w:rsid w:val="00935329"/>
    <w:rsid w:val="009402CF"/>
    <w:rsid w:val="00941FA6"/>
    <w:rsid w:val="0094254D"/>
    <w:rsid w:val="00945067"/>
    <w:rsid w:val="00946E0B"/>
    <w:rsid w:val="00947463"/>
    <w:rsid w:val="00947840"/>
    <w:rsid w:val="00947E3D"/>
    <w:rsid w:val="00951498"/>
    <w:rsid w:val="00951974"/>
    <w:rsid w:val="009519CF"/>
    <w:rsid w:val="00952682"/>
    <w:rsid w:val="00953C1E"/>
    <w:rsid w:val="009612D2"/>
    <w:rsid w:val="00961DA8"/>
    <w:rsid w:val="00962612"/>
    <w:rsid w:val="00962A1F"/>
    <w:rsid w:val="009642FF"/>
    <w:rsid w:val="00965409"/>
    <w:rsid w:val="009660F4"/>
    <w:rsid w:val="0096679A"/>
    <w:rsid w:val="00970600"/>
    <w:rsid w:val="00971EE3"/>
    <w:rsid w:val="00972F1E"/>
    <w:rsid w:val="00973D0C"/>
    <w:rsid w:val="00974051"/>
    <w:rsid w:val="00974286"/>
    <w:rsid w:val="0097498A"/>
    <w:rsid w:val="0097509B"/>
    <w:rsid w:val="009758BF"/>
    <w:rsid w:val="00976B5A"/>
    <w:rsid w:val="00977B80"/>
    <w:rsid w:val="00980846"/>
    <w:rsid w:val="009813B0"/>
    <w:rsid w:val="00983BA4"/>
    <w:rsid w:val="00985D11"/>
    <w:rsid w:val="009866C4"/>
    <w:rsid w:val="00986952"/>
    <w:rsid w:val="00992A1D"/>
    <w:rsid w:val="0099339B"/>
    <w:rsid w:val="009939D9"/>
    <w:rsid w:val="00993E41"/>
    <w:rsid w:val="00996C3C"/>
    <w:rsid w:val="009A1568"/>
    <w:rsid w:val="009A1876"/>
    <w:rsid w:val="009A217E"/>
    <w:rsid w:val="009A244D"/>
    <w:rsid w:val="009A29D5"/>
    <w:rsid w:val="009A3D15"/>
    <w:rsid w:val="009A4577"/>
    <w:rsid w:val="009A48E8"/>
    <w:rsid w:val="009A611D"/>
    <w:rsid w:val="009A75E3"/>
    <w:rsid w:val="009B0B83"/>
    <w:rsid w:val="009B2E2C"/>
    <w:rsid w:val="009B32AA"/>
    <w:rsid w:val="009B3464"/>
    <w:rsid w:val="009B48C9"/>
    <w:rsid w:val="009B6020"/>
    <w:rsid w:val="009B634D"/>
    <w:rsid w:val="009B6738"/>
    <w:rsid w:val="009B7ED7"/>
    <w:rsid w:val="009C15E6"/>
    <w:rsid w:val="009C16CE"/>
    <w:rsid w:val="009C1CFF"/>
    <w:rsid w:val="009C4EDB"/>
    <w:rsid w:val="009C4F3F"/>
    <w:rsid w:val="009C54D6"/>
    <w:rsid w:val="009D1A52"/>
    <w:rsid w:val="009D254E"/>
    <w:rsid w:val="009D3D4F"/>
    <w:rsid w:val="009D4B5A"/>
    <w:rsid w:val="009D620E"/>
    <w:rsid w:val="009D6370"/>
    <w:rsid w:val="009D7158"/>
    <w:rsid w:val="009D73BE"/>
    <w:rsid w:val="009D757E"/>
    <w:rsid w:val="009D758E"/>
    <w:rsid w:val="009E1A6B"/>
    <w:rsid w:val="009E26A9"/>
    <w:rsid w:val="009E28DC"/>
    <w:rsid w:val="009E34F5"/>
    <w:rsid w:val="009E3874"/>
    <w:rsid w:val="009E45F4"/>
    <w:rsid w:val="009E4A55"/>
    <w:rsid w:val="009E55E8"/>
    <w:rsid w:val="009E570E"/>
    <w:rsid w:val="009E6C78"/>
    <w:rsid w:val="009F014C"/>
    <w:rsid w:val="009F26A4"/>
    <w:rsid w:val="009F5AEF"/>
    <w:rsid w:val="009F5BE4"/>
    <w:rsid w:val="00A015BB"/>
    <w:rsid w:val="00A02A35"/>
    <w:rsid w:val="00A038D1"/>
    <w:rsid w:val="00A04052"/>
    <w:rsid w:val="00A050D5"/>
    <w:rsid w:val="00A05FDA"/>
    <w:rsid w:val="00A06AB2"/>
    <w:rsid w:val="00A10318"/>
    <w:rsid w:val="00A10395"/>
    <w:rsid w:val="00A1274B"/>
    <w:rsid w:val="00A1292A"/>
    <w:rsid w:val="00A14EB7"/>
    <w:rsid w:val="00A15565"/>
    <w:rsid w:val="00A17D56"/>
    <w:rsid w:val="00A17EC3"/>
    <w:rsid w:val="00A17F9A"/>
    <w:rsid w:val="00A21874"/>
    <w:rsid w:val="00A23DD3"/>
    <w:rsid w:val="00A24234"/>
    <w:rsid w:val="00A246D2"/>
    <w:rsid w:val="00A254B4"/>
    <w:rsid w:val="00A25A3B"/>
    <w:rsid w:val="00A306BB"/>
    <w:rsid w:val="00A307D5"/>
    <w:rsid w:val="00A3259F"/>
    <w:rsid w:val="00A3336B"/>
    <w:rsid w:val="00A3472B"/>
    <w:rsid w:val="00A34780"/>
    <w:rsid w:val="00A36A7E"/>
    <w:rsid w:val="00A37A8C"/>
    <w:rsid w:val="00A40E63"/>
    <w:rsid w:val="00A4120E"/>
    <w:rsid w:val="00A4232A"/>
    <w:rsid w:val="00A426A1"/>
    <w:rsid w:val="00A43BF1"/>
    <w:rsid w:val="00A43DF4"/>
    <w:rsid w:val="00A43E6E"/>
    <w:rsid w:val="00A4572D"/>
    <w:rsid w:val="00A509A2"/>
    <w:rsid w:val="00A52DFD"/>
    <w:rsid w:val="00A54B6B"/>
    <w:rsid w:val="00A552EB"/>
    <w:rsid w:val="00A6085E"/>
    <w:rsid w:val="00A613E9"/>
    <w:rsid w:val="00A624A5"/>
    <w:rsid w:val="00A62510"/>
    <w:rsid w:val="00A642C6"/>
    <w:rsid w:val="00A645BA"/>
    <w:rsid w:val="00A64718"/>
    <w:rsid w:val="00A66358"/>
    <w:rsid w:val="00A67E9B"/>
    <w:rsid w:val="00A702F4"/>
    <w:rsid w:val="00A70CB8"/>
    <w:rsid w:val="00A71004"/>
    <w:rsid w:val="00A71AD8"/>
    <w:rsid w:val="00A71C76"/>
    <w:rsid w:val="00A72816"/>
    <w:rsid w:val="00A73C81"/>
    <w:rsid w:val="00A75F81"/>
    <w:rsid w:val="00A76EE8"/>
    <w:rsid w:val="00A8023D"/>
    <w:rsid w:val="00A81302"/>
    <w:rsid w:val="00A83085"/>
    <w:rsid w:val="00A843B3"/>
    <w:rsid w:val="00A86863"/>
    <w:rsid w:val="00A8692E"/>
    <w:rsid w:val="00A9058C"/>
    <w:rsid w:val="00A91C73"/>
    <w:rsid w:val="00A9531C"/>
    <w:rsid w:val="00A970D3"/>
    <w:rsid w:val="00AA2CAB"/>
    <w:rsid w:val="00AA3CDF"/>
    <w:rsid w:val="00AA3F24"/>
    <w:rsid w:val="00AA58D1"/>
    <w:rsid w:val="00AA5C01"/>
    <w:rsid w:val="00AA6965"/>
    <w:rsid w:val="00AB18D9"/>
    <w:rsid w:val="00AB20C0"/>
    <w:rsid w:val="00AB23D9"/>
    <w:rsid w:val="00AB34EB"/>
    <w:rsid w:val="00AB4496"/>
    <w:rsid w:val="00AB53D0"/>
    <w:rsid w:val="00AB7571"/>
    <w:rsid w:val="00AC15A4"/>
    <w:rsid w:val="00AC1F71"/>
    <w:rsid w:val="00AC4B0B"/>
    <w:rsid w:val="00AC4C4A"/>
    <w:rsid w:val="00AC620B"/>
    <w:rsid w:val="00AC6911"/>
    <w:rsid w:val="00AC6A59"/>
    <w:rsid w:val="00AD1913"/>
    <w:rsid w:val="00AD1944"/>
    <w:rsid w:val="00AD203C"/>
    <w:rsid w:val="00AD2294"/>
    <w:rsid w:val="00AD473C"/>
    <w:rsid w:val="00AD5FB5"/>
    <w:rsid w:val="00AD64EB"/>
    <w:rsid w:val="00AD696D"/>
    <w:rsid w:val="00AD6B67"/>
    <w:rsid w:val="00AD6D3A"/>
    <w:rsid w:val="00AE04D6"/>
    <w:rsid w:val="00AE0541"/>
    <w:rsid w:val="00AE0F77"/>
    <w:rsid w:val="00AE2027"/>
    <w:rsid w:val="00AE4984"/>
    <w:rsid w:val="00AE5D27"/>
    <w:rsid w:val="00AE7852"/>
    <w:rsid w:val="00AF0234"/>
    <w:rsid w:val="00AF1156"/>
    <w:rsid w:val="00AF40CF"/>
    <w:rsid w:val="00AF47C4"/>
    <w:rsid w:val="00AF4D95"/>
    <w:rsid w:val="00AF5E63"/>
    <w:rsid w:val="00AF6182"/>
    <w:rsid w:val="00AF66BA"/>
    <w:rsid w:val="00AF6818"/>
    <w:rsid w:val="00AF69A0"/>
    <w:rsid w:val="00AF6C37"/>
    <w:rsid w:val="00AF79A5"/>
    <w:rsid w:val="00B02142"/>
    <w:rsid w:val="00B04915"/>
    <w:rsid w:val="00B06518"/>
    <w:rsid w:val="00B101DE"/>
    <w:rsid w:val="00B1398A"/>
    <w:rsid w:val="00B149BE"/>
    <w:rsid w:val="00B170C2"/>
    <w:rsid w:val="00B178E9"/>
    <w:rsid w:val="00B260E6"/>
    <w:rsid w:val="00B26192"/>
    <w:rsid w:val="00B311F0"/>
    <w:rsid w:val="00B317CB"/>
    <w:rsid w:val="00B341F6"/>
    <w:rsid w:val="00B40197"/>
    <w:rsid w:val="00B40F31"/>
    <w:rsid w:val="00B454E6"/>
    <w:rsid w:val="00B46A58"/>
    <w:rsid w:val="00B46DF9"/>
    <w:rsid w:val="00B478D1"/>
    <w:rsid w:val="00B47AC8"/>
    <w:rsid w:val="00B50DEE"/>
    <w:rsid w:val="00B526F8"/>
    <w:rsid w:val="00B60E41"/>
    <w:rsid w:val="00B62BA8"/>
    <w:rsid w:val="00B63170"/>
    <w:rsid w:val="00B63710"/>
    <w:rsid w:val="00B653DC"/>
    <w:rsid w:val="00B65745"/>
    <w:rsid w:val="00B65D69"/>
    <w:rsid w:val="00B67188"/>
    <w:rsid w:val="00B671E1"/>
    <w:rsid w:val="00B673A8"/>
    <w:rsid w:val="00B70BAF"/>
    <w:rsid w:val="00B70EA5"/>
    <w:rsid w:val="00B72E9C"/>
    <w:rsid w:val="00B7556B"/>
    <w:rsid w:val="00B75903"/>
    <w:rsid w:val="00B7597E"/>
    <w:rsid w:val="00B7599D"/>
    <w:rsid w:val="00B768CE"/>
    <w:rsid w:val="00B76F28"/>
    <w:rsid w:val="00B77EA9"/>
    <w:rsid w:val="00B8241E"/>
    <w:rsid w:val="00B82DD9"/>
    <w:rsid w:val="00B83136"/>
    <w:rsid w:val="00B8466F"/>
    <w:rsid w:val="00B857DE"/>
    <w:rsid w:val="00B8603D"/>
    <w:rsid w:val="00B8732E"/>
    <w:rsid w:val="00B91763"/>
    <w:rsid w:val="00B91A69"/>
    <w:rsid w:val="00B91D1C"/>
    <w:rsid w:val="00B935CF"/>
    <w:rsid w:val="00BA3E99"/>
    <w:rsid w:val="00BA43FA"/>
    <w:rsid w:val="00BA4A5D"/>
    <w:rsid w:val="00BB3E5B"/>
    <w:rsid w:val="00BB4552"/>
    <w:rsid w:val="00BC06DE"/>
    <w:rsid w:val="00BC15E3"/>
    <w:rsid w:val="00BC17F9"/>
    <w:rsid w:val="00BC1AB8"/>
    <w:rsid w:val="00BC330B"/>
    <w:rsid w:val="00BC4562"/>
    <w:rsid w:val="00BC4740"/>
    <w:rsid w:val="00BC4F4F"/>
    <w:rsid w:val="00BC507F"/>
    <w:rsid w:val="00BC68A2"/>
    <w:rsid w:val="00BC7083"/>
    <w:rsid w:val="00BC76EA"/>
    <w:rsid w:val="00BD09B8"/>
    <w:rsid w:val="00BD214C"/>
    <w:rsid w:val="00BD2872"/>
    <w:rsid w:val="00BD337D"/>
    <w:rsid w:val="00BD3831"/>
    <w:rsid w:val="00BD5343"/>
    <w:rsid w:val="00BD5E2E"/>
    <w:rsid w:val="00BE0C80"/>
    <w:rsid w:val="00BE1069"/>
    <w:rsid w:val="00BE12AA"/>
    <w:rsid w:val="00BE16E8"/>
    <w:rsid w:val="00BE1978"/>
    <w:rsid w:val="00BE24C5"/>
    <w:rsid w:val="00BE3258"/>
    <w:rsid w:val="00BE3DA3"/>
    <w:rsid w:val="00BE57F7"/>
    <w:rsid w:val="00BE59D6"/>
    <w:rsid w:val="00BF0441"/>
    <w:rsid w:val="00BF0598"/>
    <w:rsid w:val="00BF0C23"/>
    <w:rsid w:val="00BF1F44"/>
    <w:rsid w:val="00BF2069"/>
    <w:rsid w:val="00BF2105"/>
    <w:rsid w:val="00BF245B"/>
    <w:rsid w:val="00BF24E1"/>
    <w:rsid w:val="00BF6609"/>
    <w:rsid w:val="00BF6F6F"/>
    <w:rsid w:val="00BF7929"/>
    <w:rsid w:val="00C000C3"/>
    <w:rsid w:val="00C0018E"/>
    <w:rsid w:val="00C02494"/>
    <w:rsid w:val="00C02A29"/>
    <w:rsid w:val="00C03459"/>
    <w:rsid w:val="00C041D8"/>
    <w:rsid w:val="00C048C9"/>
    <w:rsid w:val="00C04F8C"/>
    <w:rsid w:val="00C10044"/>
    <w:rsid w:val="00C10199"/>
    <w:rsid w:val="00C17762"/>
    <w:rsid w:val="00C20278"/>
    <w:rsid w:val="00C206B0"/>
    <w:rsid w:val="00C20764"/>
    <w:rsid w:val="00C219C3"/>
    <w:rsid w:val="00C21ED9"/>
    <w:rsid w:val="00C220AC"/>
    <w:rsid w:val="00C227A6"/>
    <w:rsid w:val="00C23627"/>
    <w:rsid w:val="00C2363E"/>
    <w:rsid w:val="00C245C0"/>
    <w:rsid w:val="00C247C6"/>
    <w:rsid w:val="00C25E1F"/>
    <w:rsid w:val="00C2679F"/>
    <w:rsid w:val="00C272F4"/>
    <w:rsid w:val="00C27545"/>
    <w:rsid w:val="00C27AB4"/>
    <w:rsid w:val="00C318C1"/>
    <w:rsid w:val="00C31DFF"/>
    <w:rsid w:val="00C32102"/>
    <w:rsid w:val="00C33132"/>
    <w:rsid w:val="00C33C41"/>
    <w:rsid w:val="00C34C54"/>
    <w:rsid w:val="00C36D30"/>
    <w:rsid w:val="00C36F05"/>
    <w:rsid w:val="00C4162E"/>
    <w:rsid w:val="00C419CD"/>
    <w:rsid w:val="00C41D9B"/>
    <w:rsid w:val="00C424E9"/>
    <w:rsid w:val="00C42D27"/>
    <w:rsid w:val="00C434B4"/>
    <w:rsid w:val="00C43722"/>
    <w:rsid w:val="00C4379E"/>
    <w:rsid w:val="00C457E3"/>
    <w:rsid w:val="00C46065"/>
    <w:rsid w:val="00C46533"/>
    <w:rsid w:val="00C50409"/>
    <w:rsid w:val="00C52103"/>
    <w:rsid w:val="00C5386F"/>
    <w:rsid w:val="00C53CB4"/>
    <w:rsid w:val="00C54383"/>
    <w:rsid w:val="00C56B73"/>
    <w:rsid w:val="00C62033"/>
    <w:rsid w:val="00C63650"/>
    <w:rsid w:val="00C65092"/>
    <w:rsid w:val="00C65279"/>
    <w:rsid w:val="00C67DE9"/>
    <w:rsid w:val="00C704A8"/>
    <w:rsid w:val="00C70752"/>
    <w:rsid w:val="00C70B97"/>
    <w:rsid w:val="00C70D14"/>
    <w:rsid w:val="00C72FA6"/>
    <w:rsid w:val="00C732BE"/>
    <w:rsid w:val="00C741A8"/>
    <w:rsid w:val="00C745A9"/>
    <w:rsid w:val="00C754E4"/>
    <w:rsid w:val="00C7586C"/>
    <w:rsid w:val="00C7617B"/>
    <w:rsid w:val="00C80DEF"/>
    <w:rsid w:val="00C80F7B"/>
    <w:rsid w:val="00C820D8"/>
    <w:rsid w:val="00C83BA3"/>
    <w:rsid w:val="00C83CD2"/>
    <w:rsid w:val="00C83D2A"/>
    <w:rsid w:val="00C84554"/>
    <w:rsid w:val="00C848F2"/>
    <w:rsid w:val="00C84EC6"/>
    <w:rsid w:val="00C853FA"/>
    <w:rsid w:val="00C85564"/>
    <w:rsid w:val="00C85E03"/>
    <w:rsid w:val="00C87A9E"/>
    <w:rsid w:val="00C90C0F"/>
    <w:rsid w:val="00C90FA1"/>
    <w:rsid w:val="00C928CF"/>
    <w:rsid w:val="00C9594C"/>
    <w:rsid w:val="00C96352"/>
    <w:rsid w:val="00CA0216"/>
    <w:rsid w:val="00CA078E"/>
    <w:rsid w:val="00CA19DE"/>
    <w:rsid w:val="00CA4618"/>
    <w:rsid w:val="00CA569E"/>
    <w:rsid w:val="00CA5858"/>
    <w:rsid w:val="00CA7674"/>
    <w:rsid w:val="00CB0410"/>
    <w:rsid w:val="00CB07D6"/>
    <w:rsid w:val="00CB218F"/>
    <w:rsid w:val="00CB4517"/>
    <w:rsid w:val="00CB49C8"/>
    <w:rsid w:val="00CB7ADA"/>
    <w:rsid w:val="00CC01F1"/>
    <w:rsid w:val="00CC0200"/>
    <w:rsid w:val="00CC0BB6"/>
    <w:rsid w:val="00CC25DA"/>
    <w:rsid w:val="00CC2BD6"/>
    <w:rsid w:val="00CC3D43"/>
    <w:rsid w:val="00CC74E1"/>
    <w:rsid w:val="00CC7683"/>
    <w:rsid w:val="00CC7809"/>
    <w:rsid w:val="00CD06F3"/>
    <w:rsid w:val="00CD18E0"/>
    <w:rsid w:val="00CD1B73"/>
    <w:rsid w:val="00CD1BF8"/>
    <w:rsid w:val="00CD338E"/>
    <w:rsid w:val="00CD33BA"/>
    <w:rsid w:val="00CD41E9"/>
    <w:rsid w:val="00CD6129"/>
    <w:rsid w:val="00CD7CA1"/>
    <w:rsid w:val="00CE14B2"/>
    <w:rsid w:val="00CE40C1"/>
    <w:rsid w:val="00CE6104"/>
    <w:rsid w:val="00CE6D9E"/>
    <w:rsid w:val="00CF0324"/>
    <w:rsid w:val="00CF066D"/>
    <w:rsid w:val="00CF1E31"/>
    <w:rsid w:val="00CF3288"/>
    <w:rsid w:val="00CF33F9"/>
    <w:rsid w:val="00CF4E11"/>
    <w:rsid w:val="00CF63B5"/>
    <w:rsid w:val="00CF7473"/>
    <w:rsid w:val="00CF78EC"/>
    <w:rsid w:val="00D0187A"/>
    <w:rsid w:val="00D01A60"/>
    <w:rsid w:val="00D0258D"/>
    <w:rsid w:val="00D035C8"/>
    <w:rsid w:val="00D04909"/>
    <w:rsid w:val="00D06E71"/>
    <w:rsid w:val="00D10FB1"/>
    <w:rsid w:val="00D1166C"/>
    <w:rsid w:val="00D11874"/>
    <w:rsid w:val="00D12144"/>
    <w:rsid w:val="00D124FB"/>
    <w:rsid w:val="00D13A19"/>
    <w:rsid w:val="00D15BD7"/>
    <w:rsid w:val="00D17009"/>
    <w:rsid w:val="00D17133"/>
    <w:rsid w:val="00D1799D"/>
    <w:rsid w:val="00D21064"/>
    <w:rsid w:val="00D22B7E"/>
    <w:rsid w:val="00D22EE2"/>
    <w:rsid w:val="00D23224"/>
    <w:rsid w:val="00D23781"/>
    <w:rsid w:val="00D23A9B"/>
    <w:rsid w:val="00D24308"/>
    <w:rsid w:val="00D249C5"/>
    <w:rsid w:val="00D25E34"/>
    <w:rsid w:val="00D26580"/>
    <w:rsid w:val="00D31394"/>
    <w:rsid w:val="00D328C0"/>
    <w:rsid w:val="00D332A1"/>
    <w:rsid w:val="00D3494C"/>
    <w:rsid w:val="00D34C8D"/>
    <w:rsid w:val="00D34F7E"/>
    <w:rsid w:val="00D3538B"/>
    <w:rsid w:val="00D35F0C"/>
    <w:rsid w:val="00D447EC"/>
    <w:rsid w:val="00D44CED"/>
    <w:rsid w:val="00D45AA7"/>
    <w:rsid w:val="00D45E11"/>
    <w:rsid w:val="00D46AA5"/>
    <w:rsid w:val="00D50776"/>
    <w:rsid w:val="00D52338"/>
    <w:rsid w:val="00D52380"/>
    <w:rsid w:val="00D52702"/>
    <w:rsid w:val="00D53035"/>
    <w:rsid w:val="00D533A9"/>
    <w:rsid w:val="00D54798"/>
    <w:rsid w:val="00D558C2"/>
    <w:rsid w:val="00D55A6C"/>
    <w:rsid w:val="00D56400"/>
    <w:rsid w:val="00D56CBE"/>
    <w:rsid w:val="00D57FF5"/>
    <w:rsid w:val="00D62623"/>
    <w:rsid w:val="00D64664"/>
    <w:rsid w:val="00D65D2B"/>
    <w:rsid w:val="00D663DD"/>
    <w:rsid w:val="00D7191F"/>
    <w:rsid w:val="00D7291A"/>
    <w:rsid w:val="00D75C03"/>
    <w:rsid w:val="00D75E10"/>
    <w:rsid w:val="00D768C0"/>
    <w:rsid w:val="00D76D25"/>
    <w:rsid w:val="00D80E64"/>
    <w:rsid w:val="00D80F51"/>
    <w:rsid w:val="00D8209A"/>
    <w:rsid w:val="00D82682"/>
    <w:rsid w:val="00D82B17"/>
    <w:rsid w:val="00D844E2"/>
    <w:rsid w:val="00D84913"/>
    <w:rsid w:val="00D84A04"/>
    <w:rsid w:val="00D8545F"/>
    <w:rsid w:val="00D86820"/>
    <w:rsid w:val="00D8727F"/>
    <w:rsid w:val="00D87744"/>
    <w:rsid w:val="00D87901"/>
    <w:rsid w:val="00D9031E"/>
    <w:rsid w:val="00D9091D"/>
    <w:rsid w:val="00D90A23"/>
    <w:rsid w:val="00D90E24"/>
    <w:rsid w:val="00D916D2"/>
    <w:rsid w:val="00D91DEC"/>
    <w:rsid w:val="00D92076"/>
    <w:rsid w:val="00D96C55"/>
    <w:rsid w:val="00D9799D"/>
    <w:rsid w:val="00DA0018"/>
    <w:rsid w:val="00DA0522"/>
    <w:rsid w:val="00DA0982"/>
    <w:rsid w:val="00DA2400"/>
    <w:rsid w:val="00DA3B32"/>
    <w:rsid w:val="00DA4333"/>
    <w:rsid w:val="00DA6D10"/>
    <w:rsid w:val="00DA7915"/>
    <w:rsid w:val="00DA7E24"/>
    <w:rsid w:val="00DB0F83"/>
    <w:rsid w:val="00DB1455"/>
    <w:rsid w:val="00DB215A"/>
    <w:rsid w:val="00DB2BE5"/>
    <w:rsid w:val="00DB4AE9"/>
    <w:rsid w:val="00DB6C78"/>
    <w:rsid w:val="00DC0A21"/>
    <w:rsid w:val="00DC1B10"/>
    <w:rsid w:val="00DD064C"/>
    <w:rsid w:val="00DD0800"/>
    <w:rsid w:val="00DD11E5"/>
    <w:rsid w:val="00DD326F"/>
    <w:rsid w:val="00DD5A38"/>
    <w:rsid w:val="00DE01EC"/>
    <w:rsid w:val="00DE0F37"/>
    <w:rsid w:val="00DE1030"/>
    <w:rsid w:val="00DE466B"/>
    <w:rsid w:val="00DE4DA8"/>
    <w:rsid w:val="00DE5C19"/>
    <w:rsid w:val="00DE63BF"/>
    <w:rsid w:val="00DE78A1"/>
    <w:rsid w:val="00DE7DB8"/>
    <w:rsid w:val="00DF0B72"/>
    <w:rsid w:val="00DF12E5"/>
    <w:rsid w:val="00DF177B"/>
    <w:rsid w:val="00DF33FD"/>
    <w:rsid w:val="00DF345A"/>
    <w:rsid w:val="00DF39BE"/>
    <w:rsid w:val="00DF58BD"/>
    <w:rsid w:val="00DF5A02"/>
    <w:rsid w:val="00DF6340"/>
    <w:rsid w:val="00DF6B72"/>
    <w:rsid w:val="00DF6D37"/>
    <w:rsid w:val="00E0163F"/>
    <w:rsid w:val="00E047C3"/>
    <w:rsid w:val="00E047FF"/>
    <w:rsid w:val="00E055AF"/>
    <w:rsid w:val="00E05F3B"/>
    <w:rsid w:val="00E05FB5"/>
    <w:rsid w:val="00E06817"/>
    <w:rsid w:val="00E0723A"/>
    <w:rsid w:val="00E130E5"/>
    <w:rsid w:val="00E133FC"/>
    <w:rsid w:val="00E13593"/>
    <w:rsid w:val="00E16693"/>
    <w:rsid w:val="00E16B0B"/>
    <w:rsid w:val="00E16C94"/>
    <w:rsid w:val="00E175C6"/>
    <w:rsid w:val="00E17DA2"/>
    <w:rsid w:val="00E20D88"/>
    <w:rsid w:val="00E21289"/>
    <w:rsid w:val="00E21FC1"/>
    <w:rsid w:val="00E24C52"/>
    <w:rsid w:val="00E276B9"/>
    <w:rsid w:val="00E2777F"/>
    <w:rsid w:val="00E2787B"/>
    <w:rsid w:val="00E27C91"/>
    <w:rsid w:val="00E30160"/>
    <w:rsid w:val="00E30776"/>
    <w:rsid w:val="00E3137A"/>
    <w:rsid w:val="00E31F70"/>
    <w:rsid w:val="00E32BBF"/>
    <w:rsid w:val="00E33AAF"/>
    <w:rsid w:val="00E346B4"/>
    <w:rsid w:val="00E34BA4"/>
    <w:rsid w:val="00E34D4A"/>
    <w:rsid w:val="00E3509F"/>
    <w:rsid w:val="00E353BA"/>
    <w:rsid w:val="00E35A87"/>
    <w:rsid w:val="00E35C84"/>
    <w:rsid w:val="00E372B4"/>
    <w:rsid w:val="00E40EA4"/>
    <w:rsid w:val="00E41CF7"/>
    <w:rsid w:val="00E41FCA"/>
    <w:rsid w:val="00E4213C"/>
    <w:rsid w:val="00E46034"/>
    <w:rsid w:val="00E46690"/>
    <w:rsid w:val="00E46894"/>
    <w:rsid w:val="00E5024E"/>
    <w:rsid w:val="00E515A7"/>
    <w:rsid w:val="00E5347E"/>
    <w:rsid w:val="00E5364A"/>
    <w:rsid w:val="00E53B1F"/>
    <w:rsid w:val="00E53E1F"/>
    <w:rsid w:val="00E5459A"/>
    <w:rsid w:val="00E55A07"/>
    <w:rsid w:val="00E56A2E"/>
    <w:rsid w:val="00E56B30"/>
    <w:rsid w:val="00E56FF8"/>
    <w:rsid w:val="00E575E4"/>
    <w:rsid w:val="00E603CF"/>
    <w:rsid w:val="00E61A35"/>
    <w:rsid w:val="00E61DD9"/>
    <w:rsid w:val="00E6295C"/>
    <w:rsid w:val="00E63144"/>
    <w:rsid w:val="00E64FC8"/>
    <w:rsid w:val="00E6630D"/>
    <w:rsid w:val="00E66EDC"/>
    <w:rsid w:val="00E673DC"/>
    <w:rsid w:val="00E67534"/>
    <w:rsid w:val="00E67794"/>
    <w:rsid w:val="00E70F04"/>
    <w:rsid w:val="00E71D92"/>
    <w:rsid w:val="00E721FF"/>
    <w:rsid w:val="00E72DAB"/>
    <w:rsid w:val="00E7399A"/>
    <w:rsid w:val="00E803C8"/>
    <w:rsid w:val="00E8050E"/>
    <w:rsid w:val="00E826B7"/>
    <w:rsid w:val="00E83B98"/>
    <w:rsid w:val="00E83CE2"/>
    <w:rsid w:val="00E84C46"/>
    <w:rsid w:val="00E86FBA"/>
    <w:rsid w:val="00E8788A"/>
    <w:rsid w:val="00E87A51"/>
    <w:rsid w:val="00E902EA"/>
    <w:rsid w:val="00E9039C"/>
    <w:rsid w:val="00E91D8C"/>
    <w:rsid w:val="00E924BF"/>
    <w:rsid w:val="00E93C16"/>
    <w:rsid w:val="00E9434C"/>
    <w:rsid w:val="00E97787"/>
    <w:rsid w:val="00EA0B72"/>
    <w:rsid w:val="00EA128A"/>
    <w:rsid w:val="00EA1393"/>
    <w:rsid w:val="00EA2950"/>
    <w:rsid w:val="00EA42D4"/>
    <w:rsid w:val="00EA499F"/>
    <w:rsid w:val="00EA4DD7"/>
    <w:rsid w:val="00EA6FBA"/>
    <w:rsid w:val="00EA7123"/>
    <w:rsid w:val="00EB0B38"/>
    <w:rsid w:val="00EB3433"/>
    <w:rsid w:val="00EB6B46"/>
    <w:rsid w:val="00EB7A7A"/>
    <w:rsid w:val="00EC49C5"/>
    <w:rsid w:val="00EC5236"/>
    <w:rsid w:val="00EC6557"/>
    <w:rsid w:val="00EC72F5"/>
    <w:rsid w:val="00ED03C2"/>
    <w:rsid w:val="00ED2253"/>
    <w:rsid w:val="00ED26BE"/>
    <w:rsid w:val="00ED292D"/>
    <w:rsid w:val="00ED3798"/>
    <w:rsid w:val="00ED5320"/>
    <w:rsid w:val="00ED7154"/>
    <w:rsid w:val="00ED75C7"/>
    <w:rsid w:val="00ED795A"/>
    <w:rsid w:val="00EE25E4"/>
    <w:rsid w:val="00EE3F33"/>
    <w:rsid w:val="00EF070B"/>
    <w:rsid w:val="00EF1454"/>
    <w:rsid w:val="00EF168D"/>
    <w:rsid w:val="00EF1FA4"/>
    <w:rsid w:val="00EF2C88"/>
    <w:rsid w:val="00EF32CB"/>
    <w:rsid w:val="00EF34A7"/>
    <w:rsid w:val="00EF6B44"/>
    <w:rsid w:val="00EF7183"/>
    <w:rsid w:val="00F00815"/>
    <w:rsid w:val="00F02601"/>
    <w:rsid w:val="00F036D4"/>
    <w:rsid w:val="00F06ACC"/>
    <w:rsid w:val="00F10012"/>
    <w:rsid w:val="00F10A66"/>
    <w:rsid w:val="00F1398B"/>
    <w:rsid w:val="00F13DC1"/>
    <w:rsid w:val="00F1407B"/>
    <w:rsid w:val="00F157BA"/>
    <w:rsid w:val="00F167B3"/>
    <w:rsid w:val="00F2054B"/>
    <w:rsid w:val="00F20CFC"/>
    <w:rsid w:val="00F236C8"/>
    <w:rsid w:val="00F259C8"/>
    <w:rsid w:val="00F25F83"/>
    <w:rsid w:val="00F32FCC"/>
    <w:rsid w:val="00F36B19"/>
    <w:rsid w:val="00F402A3"/>
    <w:rsid w:val="00F4049D"/>
    <w:rsid w:val="00F40D35"/>
    <w:rsid w:val="00F412E0"/>
    <w:rsid w:val="00F4164D"/>
    <w:rsid w:val="00F42766"/>
    <w:rsid w:val="00F43D97"/>
    <w:rsid w:val="00F459CD"/>
    <w:rsid w:val="00F503A2"/>
    <w:rsid w:val="00F50DB7"/>
    <w:rsid w:val="00F51E2B"/>
    <w:rsid w:val="00F536A3"/>
    <w:rsid w:val="00F53DB3"/>
    <w:rsid w:val="00F54A8C"/>
    <w:rsid w:val="00F55EAC"/>
    <w:rsid w:val="00F56537"/>
    <w:rsid w:val="00F60FD2"/>
    <w:rsid w:val="00F611C8"/>
    <w:rsid w:val="00F635E8"/>
    <w:rsid w:val="00F64E6A"/>
    <w:rsid w:val="00F665F7"/>
    <w:rsid w:val="00F7199E"/>
    <w:rsid w:val="00F729B2"/>
    <w:rsid w:val="00F73180"/>
    <w:rsid w:val="00F7324C"/>
    <w:rsid w:val="00F73E38"/>
    <w:rsid w:val="00F74157"/>
    <w:rsid w:val="00F74326"/>
    <w:rsid w:val="00F75173"/>
    <w:rsid w:val="00F7526B"/>
    <w:rsid w:val="00F75D6B"/>
    <w:rsid w:val="00F81D95"/>
    <w:rsid w:val="00F82829"/>
    <w:rsid w:val="00F8468A"/>
    <w:rsid w:val="00F87A1B"/>
    <w:rsid w:val="00F92EF7"/>
    <w:rsid w:val="00F9432E"/>
    <w:rsid w:val="00F949D7"/>
    <w:rsid w:val="00F94D94"/>
    <w:rsid w:val="00F9512E"/>
    <w:rsid w:val="00F961C7"/>
    <w:rsid w:val="00F9666F"/>
    <w:rsid w:val="00F96DCC"/>
    <w:rsid w:val="00F97B6C"/>
    <w:rsid w:val="00FA00CF"/>
    <w:rsid w:val="00FA0B52"/>
    <w:rsid w:val="00FA1E48"/>
    <w:rsid w:val="00FA344B"/>
    <w:rsid w:val="00FA52F3"/>
    <w:rsid w:val="00FA57FA"/>
    <w:rsid w:val="00FA67EC"/>
    <w:rsid w:val="00FA7783"/>
    <w:rsid w:val="00FA79DA"/>
    <w:rsid w:val="00FB2EA4"/>
    <w:rsid w:val="00FB2FB8"/>
    <w:rsid w:val="00FB334A"/>
    <w:rsid w:val="00FB3EBE"/>
    <w:rsid w:val="00FB434D"/>
    <w:rsid w:val="00FB63C9"/>
    <w:rsid w:val="00FB7A73"/>
    <w:rsid w:val="00FB7B59"/>
    <w:rsid w:val="00FC010D"/>
    <w:rsid w:val="00FC0300"/>
    <w:rsid w:val="00FC1A52"/>
    <w:rsid w:val="00FC2F77"/>
    <w:rsid w:val="00FC5B31"/>
    <w:rsid w:val="00FC6672"/>
    <w:rsid w:val="00FC775B"/>
    <w:rsid w:val="00FD0AAC"/>
    <w:rsid w:val="00FD138D"/>
    <w:rsid w:val="00FD13FC"/>
    <w:rsid w:val="00FD1486"/>
    <w:rsid w:val="00FD183E"/>
    <w:rsid w:val="00FD1C6E"/>
    <w:rsid w:val="00FD1F2E"/>
    <w:rsid w:val="00FD254B"/>
    <w:rsid w:val="00FD5257"/>
    <w:rsid w:val="00FD6A8F"/>
    <w:rsid w:val="00FD6C8B"/>
    <w:rsid w:val="00FD783E"/>
    <w:rsid w:val="00FE1F1B"/>
    <w:rsid w:val="00FE2943"/>
    <w:rsid w:val="00FE3021"/>
    <w:rsid w:val="00FE3726"/>
    <w:rsid w:val="00FE3FF5"/>
    <w:rsid w:val="00FE406A"/>
    <w:rsid w:val="00FE4423"/>
    <w:rsid w:val="00FE5463"/>
    <w:rsid w:val="00FE6742"/>
    <w:rsid w:val="00FE7C08"/>
    <w:rsid w:val="00FF2701"/>
    <w:rsid w:val="00FF27FA"/>
    <w:rsid w:val="00FF2AEE"/>
    <w:rsid w:val="00FF4065"/>
    <w:rsid w:val="00FF419E"/>
    <w:rsid w:val="00FF4275"/>
    <w:rsid w:val="00FF46BD"/>
    <w:rsid w:val="00FF583B"/>
    <w:rsid w:val="00FF62C5"/>
    <w:rsid w:val="00FF649F"/>
    <w:rsid w:val="00FF740F"/>
    <w:rsid w:val="00FF7A6A"/>
    <w:rsid w:val="0AA27E70"/>
    <w:rsid w:val="1C5867A4"/>
    <w:rsid w:val="236C6787"/>
    <w:rsid w:val="3BC761E8"/>
    <w:rsid w:val="42A31DF7"/>
    <w:rsid w:val="43E637F5"/>
    <w:rsid w:val="45A57BAB"/>
    <w:rsid w:val="46E14AAA"/>
    <w:rsid w:val="69D069E7"/>
    <w:rsid w:val="6B721A2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9"/>
    <w:qFormat/>
    <w:uiPriority w:val="99"/>
    <w:pPr>
      <w:keepNext/>
      <w:jc w:val="center"/>
      <w:outlineLvl w:val="1"/>
    </w:pPr>
    <w:rPr>
      <w:rFonts w:ascii="Cambria" w:hAnsi="Cambria"/>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List 3"/>
    <w:basedOn w:val="1"/>
    <w:qFormat/>
    <w:uiPriority w:val="99"/>
    <w:pPr>
      <w:ind w:left="100" w:leftChars="400" w:hanging="200" w:hangingChars="200"/>
    </w:pPr>
  </w:style>
  <w:style w:type="paragraph" w:styleId="4">
    <w:name w:val="annotation text"/>
    <w:basedOn w:val="1"/>
    <w:link w:val="24"/>
    <w:semiHidden/>
    <w:uiPriority w:val="99"/>
    <w:pPr>
      <w:jc w:val="left"/>
    </w:pPr>
    <w:rPr>
      <w:kern w:val="0"/>
    </w:rPr>
  </w:style>
  <w:style w:type="paragraph" w:styleId="5">
    <w:name w:val="Body Text Indent"/>
    <w:basedOn w:val="1"/>
    <w:link w:val="71"/>
    <w:semiHidden/>
    <w:unhideWhenUsed/>
    <w:qFormat/>
    <w:uiPriority w:val="99"/>
    <w:pPr>
      <w:spacing w:after="120"/>
      <w:ind w:left="420" w:leftChars="200"/>
    </w:pPr>
  </w:style>
  <w:style w:type="paragraph" w:styleId="6">
    <w:name w:val="Date"/>
    <w:basedOn w:val="1"/>
    <w:next w:val="1"/>
    <w:link w:val="23"/>
    <w:uiPriority w:val="99"/>
    <w:pPr>
      <w:ind w:left="100" w:leftChars="2500"/>
    </w:pPr>
    <w:rPr>
      <w:kern w:val="0"/>
    </w:rPr>
  </w:style>
  <w:style w:type="paragraph" w:styleId="7">
    <w:name w:val="Balloon Text"/>
    <w:basedOn w:val="1"/>
    <w:link w:val="22"/>
    <w:qFormat/>
    <w:uiPriority w:val="0"/>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toc 1"/>
    <w:basedOn w:val="1"/>
    <w:next w:val="1"/>
    <w:autoRedefine/>
    <w:locked/>
    <w:uiPriority w:val="0"/>
  </w:style>
  <w:style w:type="paragraph" w:styleId="11">
    <w:name w:val="annotation subject"/>
    <w:basedOn w:val="4"/>
    <w:next w:val="4"/>
    <w:link w:val="25"/>
    <w:semiHidden/>
    <w:uiPriority w:val="99"/>
    <w:rPr>
      <w:b/>
      <w:bCs/>
    </w:rPr>
  </w:style>
  <w:style w:type="paragraph" w:styleId="12">
    <w:name w:val="Body Text First Indent 2"/>
    <w:basedOn w:val="5"/>
    <w:link w:val="72"/>
    <w:unhideWhenUsed/>
    <w:qFormat/>
    <w:uiPriority w:val="99"/>
    <w:pPr>
      <w:ind w:firstLine="420" w:firstLineChars="200"/>
    </w:pPr>
  </w:style>
  <w:style w:type="character" w:styleId="15">
    <w:name w:val="page number"/>
    <w:basedOn w:val="14"/>
    <w:uiPriority w:val="99"/>
  </w:style>
  <w:style w:type="character" w:styleId="16">
    <w:name w:val="Emphasis"/>
    <w:qFormat/>
    <w:uiPriority w:val="99"/>
    <w:rPr>
      <w:color w:val="auto"/>
    </w:rPr>
  </w:style>
  <w:style w:type="character" w:styleId="17">
    <w:name w:val="Hyperlink"/>
    <w:uiPriority w:val="99"/>
    <w:rPr>
      <w:color w:val="auto"/>
      <w:u w:val="single"/>
    </w:rPr>
  </w:style>
  <w:style w:type="character" w:styleId="18">
    <w:name w:val="annotation reference"/>
    <w:semiHidden/>
    <w:uiPriority w:val="99"/>
    <w:rPr>
      <w:sz w:val="21"/>
      <w:szCs w:val="21"/>
    </w:rPr>
  </w:style>
  <w:style w:type="character" w:customStyle="1" w:styleId="19">
    <w:name w:val="标题 2 字符"/>
    <w:link w:val="2"/>
    <w:semiHidden/>
    <w:locked/>
    <w:uiPriority w:val="99"/>
    <w:rPr>
      <w:rFonts w:ascii="Cambria" w:hAnsi="Cambria" w:eastAsia="宋体" w:cs="Cambria"/>
      <w:b/>
      <w:bCs/>
      <w:sz w:val="32"/>
      <w:szCs w:val="32"/>
    </w:rPr>
  </w:style>
  <w:style w:type="character" w:customStyle="1" w:styleId="20">
    <w:name w:val="页眉 字符1"/>
    <w:link w:val="9"/>
    <w:semiHidden/>
    <w:locked/>
    <w:uiPriority w:val="99"/>
    <w:rPr>
      <w:sz w:val="18"/>
      <w:szCs w:val="18"/>
    </w:rPr>
  </w:style>
  <w:style w:type="character" w:customStyle="1" w:styleId="21">
    <w:name w:val="页脚 字符"/>
    <w:link w:val="8"/>
    <w:locked/>
    <w:uiPriority w:val="99"/>
    <w:rPr>
      <w:kern w:val="2"/>
      <w:sz w:val="18"/>
      <w:szCs w:val="18"/>
    </w:rPr>
  </w:style>
  <w:style w:type="character" w:customStyle="1" w:styleId="22">
    <w:name w:val="批注框文本 字符"/>
    <w:link w:val="7"/>
    <w:qFormat/>
    <w:locked/>
    <w:uiPriority w:val="0"/>
    <w:rPr>
      <w:kern w:val="2"/>
      <w:sz w:val="18"/>
      <w:szCs w:val="18"/>
    </w:rPr>
  </w:style>
  <w:style w:type="character" w:customStyle="1" w:styleId="23">
    <w:name w:val="日期 字符"/>
    <w:link w:val="6"/>
    <w:semiHidden/>
    <w:locked/>
    <w:uiPriority w:val="99"/>
    <w:rPr>
      <w:sz w:val="21"/>
      <w:szCs w:val="21"/>
    </w:rPr>
  </w:style>
  <w:style w:type="character" w:customStyle="1" w:styleId="24">
    <w:name w:val="批注文字 字符"/>
    <w:link w:val="4"/>
    <w:semiHidden/>
    <w:qFormat/>
    <w:locked/>
    <w:uiPriority w:val="99"/>
    <w:rPr>
      <w:sz w:val="21"/>
      <w:szCs w:val="21"/>
    </w:rPr>
  </w:style>
  <w:style w:type="character" w:customStyle="1" w:styleId="25">
    <w:name w:val="批注主题 字符"/>
    <w:link w:val="11"/>
    <w:semiHidden/>
    <w:qFormat/>
    <w:locked/>
    <w:uiPriority w:val="99"/>
    <w:rPr>
      <w:b/>
      <w:bCs/>
      <w:sz w:val="21"/>
      <w:szCs w:val="21"/>
    </w:rPr>
  </w:style>
  <w:style w:type="paragraph" w:customStyle="1" w:styleId="26">
    <w:name w:val="标准书脚_奇数页"/>
    <w:qFormat/>
    <w:uiPriority w:val="99"/>
    <w:pPr>
      <w:spacing w:before="120"/>
      <w:jc w:val="right"/>
    </w:pPr>
    <w:rPr>
      <w:rFonts w:ascii="Times New Roman" w:hAnsi="Times New Roman" w:eastAsia="宋体" w:cs="Times New Roman"/>
      <w:sz w:val="18"/>
      <w:szCs w:val="18"/>
      <w:lang w:val="en-US" w:eastAsia="zh-CN" w:bidi="ar-SA"/>
    </w:rPr>
  </w:style>
  <w:style w:type="paragraph" w:customStyle="1" w:styleId="27">
    <w:name w:val="标准书眉_奇数页"/>
    <w:next w:val="1"/>
    <w:qFormat/>
    <w:uiPriority w:val="99"/>
    <w:pPr>
      <w:tabs>
        <w:tab w:val="center" w:pos="4154"/>
        <w:tab w:val="right" w:pos="8306"/>
      </w:tabs>
      <w:spacing w:after="120"/>
      <w:jc w:val="right"/>
    </w:pPr>
    <w:rPr>
      <w:rFonts w:ascii="Times New Roman" w:hAnsi="Times New Roman" w:eastAsia="宋体" w:cs="Times New Roman"/>
      <w:sz w:val="21"/>
      <w:szCs w:val="21"/>
      <w:lang w:val="en-US" w:eastAsia="zh-CN" w:bidi="ar-SA"/>
    </w:rPr>
  </w:style>
  <w:style w:type="paragraph" w:customStyle="1" w:styleId="28">
    <w:name w:val="标准书眉一"/>
    <w:qFormat/>
    <w:uiPriority w:val="99"/>
    <w:pPr>
      <w:jc w:val="both"/>
    </w:pPr>
    <w:rPr>
      <w:rFonts w:ascii="Times New Roman" w:hAnsi="Times New Roman" w:eastAsia="宋体" w:cs="Times New Roman"/>
      <w:lang w:val="en-US" w:eastAsia="zh-CN" w:bidi="ar-SA"/>
    </w:rPr>
  </w:style>
  <w:style w:type="paragraph" w:customStyle="1" w:styleId="29">
    <w:name w:val="封面正文"/>
    <w:qFormat/>
    <w:uiPriority w:val="0"/>
    <w:pPr>
      <w:jc w:val="both"/>
    </w:pPr>
    <w:rPr>
      <w:rFonts w:ascii="Times New Roman" w:hAnsi="Times New Roman" w:eastAsia="宋体" w:cs="Times New Roman"/>
      <w:lang w:val="en-US" w:eastAsia="zh-CN" w:bidi="ar-SA"/>
    </w:rPr>
  </w:style>
  <w:style w:type="paragraph" w:customStyle="1" w:styleId="30">
    <w:name w:val="标准标志"/>
    <w:next w:val="1"/>
    <w:uiPriority w:val="0"/>
    <w:pPr>
      <w:framePr w:w="2268" w:h="1392" w:hRule="exact" w:wrap="auto"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character" w:customStyle="1" w:styleId="31">
    <w:name w:val="发布"/>
    <w:qFormat/>
    <w:uiPriority w:val="0"/>
    <w:rPr>
      <w:rFonts w:ascii="黑体" w:eastAsia="黑体" w:cs="黑体"/>
      <w:spacing w:val="22"/>
      <w:w w:val="100"/>
      <w:position w:val="3"/>
      <w:sz w:val="28"/>
      <w:szCs w:val="28"/>
    </w:rPr>
  </w:style>
  <w:style w:type="paragraph" w:customStyle="1" w:styleId="32">
    <w:name w:val="发布部门"/>
    <w:next w:val="1"/>
    <w:qFormat/>
    <w:uiPriority w:val="0"/>
    <w:pPr>
      <w:framePr w:w="7433" w:h="585" w:hRule="exact" w:hSpace="180" w:vSpace="180" w:wrap="auto" w:vAnchor="margin" w:hAnchor="margin" w:xAlign="center" w:y="14401" w:anchorLock="1"/>
      <w:jc w:val="center"/>
    </w:pPr>
    <w:rPr>
      <w:rFonts w:ascii="宋体" w:hAnsi="Times New Roman" w:eastAsia="宋体" w:cs="宋体"/>
      <w:b/>
      <w:bCs/>
      <w:spacing w:val="20"/>
      <w:w w:val="135"/>
      <w:sz w:val="36"/>
      <w:szCs w:val="36"/>
      <w:lang w:val="en-US" w:eastAsia="zh-CN" w:bidi="ar-SA"/>
    </w:rPr>
  </w:style>
  <w:style w:type="paragraph" w:customStyle="1" w:styleId="33">
    <w:name w:val="发布日期"/>
    <w:uiPriority w:val="0"/>
    <w:pPr>
      <w:framePr w:w="4000" w:h="473" w:hRule="exact" w:hSpace="180" w:vSpace="180" w:wrap="auto" w:vAnchor="margin" w:hAnchor="margin" w:y="13511" w:anchorLock="1"/>
    </w:pPr>
    <w:rPr>
      <w:rFonts w:ascii="Times New Roman" w:hAnsi="Times New Roman" w:eastAsia="黑体" w:cs="Times New Roman"/>
      <w:sz w:val="28"/>
      <w:szCs w:val="28"/>
      <w:lang w:val="en-US" w:eastAsia="zh-CN" w:bidi="ar-SA"/>
    </w:rPr>
  </w:style>
  <w:style w:type="paragraph" w:customStyle="1" w:styleId="3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35">
    <w:name w:val="封面标准文稿编辑信息"/>
    <w:uiPriority w:val="0"/>
    <w:pPr>
      <w:spacing w:before="180" w:line="180" w:lineRule="exact"/>
      <w:jc w:val="center"/>
    </w:pPr>
    <w:rPr>
      <w:rFonts w:ascii="宋体" w:hAnsi="Times New Roman" w:eastAsia="宋体" w:cs="宋体"/>
      <w:sz w:val="21"/>
      <w:szCs w:val="21"/>
      <w:lang w:val="en-US" w:eastAsia="zh-CN" w:bidi="ar-SA"/>
    </w:rPr>
  </w:style>
  <w:style w:type="paragraph" w:customStyle="1" w:styleId="36">
    <w:name w:val="封面标准文稿类别"/>
    <w:uiPriority w:val="0"/>
    <w:pPr>
      <w:spacing w:before="440" w:line="400" w:lineRule="exact"/>
      <w:jc w:val="center"/>
    </w:pPr>
    <w:rPr>
      <w:rFonts w:ascii="宋体" w:hAnsi="Times New Roman" w:eastAsia="宋体" w:cs="宋体"/>
      <w:sz w:val="24"/>
      <w:szCs w:val="24"/>
      <w:lang w:val="en-US" w:eastAsia="zh-CN" w:bidi="ar-SA"/>
    </w:rPr>
  </w:style>
  <w:style w:type="paragraph" w:customStyle="1" w:styleId="37">
    <w:name w:val="其他标准称谓"/>
    <w:uiPriority w:val="0"/>
    <w:pPr>
      <w:spacing w:line="240" w:lineRule="atLeast"/>
      <w:jc w:val="distribute"/>
    </w:pPr>
    <w:rPr>
      <w:rFonts w:ascii="黑体" w:hAnsi="宋体" w:eastAsia="黑体" w:cs="黑体"/>
      <w:sz w:val="52"/>
      <w:szCs w:val="52"/>
      <w:lang w:val="en-US" w:eastAsia="zh-CN" w:bidi="ar-SA"/>
    </w:rPr>
  </w:style>
  <w:style w:type="paragraph" w:customStyle="1" w:styleId="38">
    <w:name w:val="实施日期"/>
    <w:basedOn w:val="33"/>
    <w:uiPriority w:val="0"/>
    <w:pPr>
      <w:framePr w:hSpace="0" w:xAlign="right"/>
      <w:jc w:val="right"/>
    </w:pPr>
  </w:style>
  <w:style w:type="paragraph" w:customStyle="1" w:styleId="39">
    <w:name w:val="文献分类号"/>
    <w:qFormat/>
    <w:uiPriority w:val="0"/>
    <w:pPr>
      <w:framePr w:hSpace="180" w:vSpace="180" w:wrap="auto" w:vAnchor="margin" w:hAnchor="margin" w:y="1" w:anchorLock="1"/>
      <w:widowControl w:val="0"/>
      <w:textAlignment w:val="center"/>
    </w:pPr>
    <w:rPr>
      <w:rFonts w:ascii="Times New Roman" w:hAnsi="Times New Roman" w:eastAsia="黑体" w:cs="Times New Roman"/>
      <w:sz w:val="21"/>
      <w:szCs w:val="21"/>
      <w:lang w:val="en-US" w:eastAsia="zh-CN" w:bidi="ar-SA"/>
    </w:rPr>
  </w:style>
  <w:style w:type="paragraph" w:customStyle="1" w:styleId="40">
    <w:name w:val="前言、引言标题"/>
    <w:next w:val="1"/>
    <w:uiPriority w:val="0"/>
    <w:pPr>
      <w:numPr>
        <w:ilvl w:val="0"/>
        <w:numId w:val="1"/>
      </w:numPr>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41">
    <w:name w:val="段"/>
    <w:link w:val="54"/>
    <w:qFormat/>
    <w:uiPriority w:val="0"/>
    <w:pPr>
      <w:autoSpaceDE w:val="0"/>
      <w:autoSpaceDN w:val="0"/>
      <w:ind w:firstLine="200" w:firstLineChars="200"/>
      <w:jc w:val="both"/>
    </w:pPr>
    <w:rPr>
      <w:rFonts w:ascii="宋体" w:hAnsi="Times New Roman" w:eastAsia="宋体" w:cs="Times New Roman"/>
      <w:sz w:val="21"/>
      <w:szCs w:val="21"/>
      <w:lang w:val="en-US" w:eastAsia="zh-CN" w:bidi="ar-SA"/>
    </w:rPr>
  </w:style>
  <w:style w:type="paragraph" w:customStyle="1" w:styleId="42">
    <w:name w:val="章标题"/>
    <w:next w:val="41"/>
    <w:qFormat/>
    <w:uiPriority w:val="0"/>
    <w:pPr>
      <w:numPr>
        <w:ilvl w:val="1"/>
        <w:numId w:val="1"/>
      </w:numPr>
      <w:spacing w:beforeLines="50" w:afterLines="50"/>
      <w:jc w:val="both"/>
      <w:outlineLvl w:val="1"/>
    </w:pPr>
    <w:rPr>
      <w:rFonts w:ascii="黑体" w:hAnsi="Times New Roman" w:eastAsia="黑体" w:cs="黑体"/>
      <w:sz w:val="21"/>
      <w:szCs w:val="21"/>
      <w:lang w:val="en-US" w:eastAsia="zh-CN" w:bidi="ar-SA"/>
    </w:rPr>
  </w:style>
  <w:style w:type="paragraph" w:customStyle="1" w:styleId="43">
    <w:name w:val="一级条标题"/>
    <w:next w:val="41"/>
    <w:qFormat/>
    <w:uiPriority w:val="0"/>
    <w:pPr>
      <w:numPr>
        <w:ilvl w:val="2"/>
        <w:numId w:val="1"/>
      </w:numPr>
      <w:outlineLvl w:val="2"/>
    </w:pPr>
    <w:rPr>
      <w:rFonts w:ascii="Times New Roman" w:hAnsi="Times New Roman" w:eastAsia="黑体" w:cs="Times New Roman"/>
      <w:sz w:val="21"/>
      <w:szCs w:val="21"/>
      <w:lang w:val="en-US" w:eastAsia="zh-CN" w:bidi="ar-SA"/>
    </w:rPr>
  </w:style>
  <w:style w:type="paragraph" w:customStyle="1" w:styleId="44">
    <w:name w:val="二级条标题"/>
    <w:basedOn w:val="43"/>
    <w:next w:val="41"/>
    <w:uiPriority w:val="0"/>
    <w:pPr>
      <w:numPr>
        <w:ilvl w:val="3"/>
      </w:numPr>
      <w:outlineLvl w:val="3"/>
    </w:pPr>
  </w:style>
  <w:style w:type="paragraph" w:customStyle="1" w:styleId="45">
    <w:name w:val="三级条标题"/>
    <w:basedOn w:val="44"/>
    <w:next w:val="41"/>
    <w:uiPriority w:val="0"/>
    <w:pPr>
      <w:numPr>
        <w:ilvl w:val="4"/>
      </w:numPr>
      <w:outlineLvl w:val="4"/>
    </w:pPr>
  </w:style>
  <w:style w:type="paragraph" w:customStyle="1" w:styleId="46">
    <w:name w:val="四级条标题"/>
    <w:basedOn w:val="45"/>
    <w:next w:val="41"/>
    <w:uiPriority w:val="0"/>
    <w:pPr>
      <w:numPr>
        <w:ilvl w:val="5"/>
      </w:numPr>
      <w:outlineLvl w:val="5"/>
    </w:pPr>
  </w:style>
  <w:style w:type="paragraph" w:customStyle="1" w:styleId="47">
    <w:name w:val="五级条标题"/>
    <w:basedOn w:val="46"/>
    <w:next w:val="41"/>
    <w:qFormat/>
    <w:uiPriority w:val="0"/>
    <w:pPr>
      <w:numPr>
        <w:ilvl w:val="6"/>
      </w:numPr>
      <w:outlineLvl w:val="6"/>
    </w:pPr>
  </w:style>
  <w:style w:type="paragraph" w:customStyle="1" w:styleId="48">
    <w:name w:val="封面标准名称"/>
    <w:uiPriority w:val="0"/>
    <w:pPr>
      <w:framePr w:w="9638" w:h="6917" w:hRule="exact" w:wrap="auto" w:vAnchor="margin" w:hAnchor="margin" w:xAlign="center" w:y="5955" w:anchorLock="1"/>
      <w:widowControl w:val="0"/>
      <w:spacing w:line="680" w:lineRule="exact"/>
      <w:jc w:val="center"/>
      <w:textAlignment w:val="center"/>
    </w:pPr>
    <w:rPr>
      <w:rFonts w:ascii="黑体" w:hAnsi="Times New Roman" w:eastAsia="黑体" w:cs="黑体"/>
      <w:sz w:val="52"/>
      <w:szCs w:val="52"/>
      <w:lang w:val="en-US" w:eastAsia="zh-CN" w:bidi="ar-SA"/>
    </w:rPr>
  </w:style>
  <w:style w:type="character" w:customStyle="1" w:styleId="49">
    <w:name w:val="datatitle1"/>
    <w:qFormat/>
    <w:uiPriority w:val="99"/>
    <w:rPr>
      <w:b/>
      <w:bCs/>
      <w:color w:val="auto"/>
      <w:sz w:val="21"/>
      <w:szCs w:val="21"/>
    </w:rPr>
  </w:style>
  <w:style w:type="character" w:customStyle="1" w:styleId="50">
    <w:name w:val="模板正文 Char Char Char Char Char Char Char Char Char Char Char Char Char Char Char Char Char Char Char Char Char Char"/>
    <w:qFormat/>
    <w:uiPriority w:val="99"/>
    <w:rPr>
      <w:rFonts w:ascii="仿宋_GB2312" w:eastAsia="仿宋_GB2312" w:cs="仿宋_GB2312"/>
      <w:snapToGrid w:val="0"/>
      <w:color w:val="000080"/>
      <w:sz w:val="24"/>
      <w:szCs w:val="24"/>
      <w:lang w:val="en-US" w:eastAsia="zh-CN"/>
    </w:rPr>
  </w:style>
  <w:style w:type="paragraph" w:customStyle="1" w:styleId="51">
    <w:name w:val="封面标准英文名称"/>
    <w:qFormat/>
    <w:uiPriority w:val="99"/>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52">
    <w:name w:val="其他发布部门"/>
    <w:basedOn w:val="32"/>
    <w:uiPriority w:val="0"/>
    <w:pPr>
      <w:framePr/>
      <w:spacing w:line="240" w:lineRule="atLeast"/>
    </w:pPr>
    <w:rPr>
      <w:rFonts w:ascii="黑体" w:eastAsia="黑体" w:cs="黑体"/>
      <w:b w:val="0"/>
      <w:bCs w:val="0"/>
    </w:rPr>
  </w:style>
  <w:style w:type="paragraph" w:customStyle="1" w:styleId="53">
    <w:name w:val="正文图标题"/>
    <w:next w:val="41"/>
    <w:qFormat/>
    <w:uiPriority w:val="99"/>
    <w:pPr>
      <w:numPr>
        <w:ilvl w:val="0"/>
        <w:numId w:val="2"/>
      </w:numPr>
      <w:jc w:val="center"/>
    </w:pPr>
    <w:rPr>
      <w:rFonts w:ascii="黑体" w:hAnsi="Times New Roman" w:eastAsia="黑体" w:cs="黑体"/>
      <w:sz w:val="21"/>
      <w:szCs w:val="21"/>
      <w:lang w:val="en-US" w:eastAsia="zh-CN" w:bidi="ar-SA"/>
    </w:rPr>
  </w:style>
  <w:style w:type="character" w:customStyle="1" w:styleId="54">
    <w:name w:val="段 Char"/>
    <w:link w:val="41"/>
    <w:qFormat/>
    <w:locked/>
    <w:uiPriority w:val="0"/>
    <w:rPr>
      <w:rFonts w:ascii="宋体"/>
      <w:sz w:val="21"/>
      <w:szCs w:val="21"/>
      <w:lang w:val="en-US" w:eastAsia="zh-CN" w:bidi="ar-SA"/>
    </w:rPr>
  </w:style>
  <w:style w:type="character" w:customStyle="1" w:styleId="55">
    <w:name w:val="模板正文 Char1"/>
    <w:link w:val="56"/>
    <w:locked/>
    <w:uiPriority w:val="0"/>
    <w:rPr>
      <w:rFonts w:ascii="黑体" w:hAnsi="黑体" w:eastAsia="黑体"/>
      <w:snapToGrid w:val="0"/>
      <w:sz w:val="32"/>
      <w:szCs w:val="32"/>
      <w:lang w:val="en-GB"/>
    </w:rPr>
  </w:style>
  <w:style w:type="paragraph" w:customStyle="1" w:styleId="56">
    <w:name w:val="模板正文"/>
    <w:basedOn w:val="1"/>
    <w:link w:val="55"/>
    <w:autoRedefine/>
    <w:qFormat/>
    <w:uiPriority w:val="0"/>
    <w:pPr>
      <w:adjustRightInd w:val="0"/>
      <w:snapToGrid w:val="0"/>
      <w:spacing w:line="360" w:lineRule="auto"/>
      <w:ind w:firstLine="640" w:firstLineChars="200"/>
      <w:jc w:val="center"/>
    </w:pPr>
    <w:rPr>
      <w:rFonts w:ascii="黑体" w:hAnsi="黑体" w:eastAsia="黑体"/>
      <w:snapToGrid w:val="0"/>
      <w:kern w:val="0"/>
      <w:sz w:val="32"/>
      <w:szCs w:val="32"/>
      <w:lang w:val="en-GB"/>
    </w:rPr>
  </w:style>
  <w:style w:type="character" w:customStyle="1" w:styleId="57">
    <w:name w:val="模板正文 Char"/>
    <w:qFormat/>
    <w:uiPriority w:val="0"/>
    <w:rPr>
      <w:rFonts w:ascii="仿宋_GB2312" w:eastAsia="仿宋_GB2312" w:cs="仿宋_GB2312"/>
      <w:snapToGrid w:val="0"/>
      <w:color w:val="000080"/>
      <w:sz w:val="24"/>
      <w:szCs w:val="24"/>
      <w:lang w:val="en-US" w:eastAsia="zh-CN"/>
    </w:rPr>
  </w:style>
  <w:style w:type="paragraph" w:customStyle="1" w:styleId="58">
    <w:name w:val="样式1"/>
    <w:basedOn w:val="10"/>
    <w:autoRedefine/>
    <w:qFormat/>
    <w:uiPriority w:val="0"/>
    <w:pPr>
      <w:tabs>
        <w:tab w:val="right" w:leader="dot" w:pos="8296"/>
      </w:tabs>
      <w:jc w:val="center"/>
    </w:pPr>
    <w:rPr>
      <w:rFonts w:ascii="黑体" w:hAnsi="宋体" w:eastAsia="黑体"/>
      <w:sz w:val="32"/>
    </w:rPr>
  </w:style>
  <w:style w:type="character" w:customStyle="1" w:styleId="59">
    <w:name w:val="页脚 Char"/>
    <w:uiPriority w:val="99"/>
    <w:rPr>
      <w:rFonts w:ascii="Times New Roman" w:hAnsi="Times New Roman" w:eastAsia="宋体" w:cs="Times New Roman"/>
      <w:sz w:val="18"/>
      <w:szCs w:val="18"/>
    </w:rPr>
  </w:style>
  <w:style w:type="character" w:customStyle="1" w:styleId="60">
    <w:name w:val="页眉 Char"/>
    <w:qFormat/>
    <w:uiPriority w:val="0"/>
    <w:rPr>
      <w:rFonts w:ascii="Times New Roman" w:hAnsi="Times New Roman" w:eastAsia="宋体" w:cs="Times New Roman"/>
      <w:sz w:val="18"/>
      <w:szCs w:val="18"/>
    </w:rPr>
  </w:style>
  <w:style w:type="paragraph" w:customStyle="1" w:styleId="61">
    <w:name w:val="目次、标准名称标题"/>
    <w:basedOn w:val="40"/>
    <w:next w:val="41"/>
    <w:qFormat/>
    <w:uiPriority w:val="0"/>
    <w:pPr>
      <w:numPr>
        <w:ilvl w:val="0"/>
        <w:numId w:val="3"/>
      </w:numPr>
      <w:spacing w:line="460" w:lineRule="exact"/>
    </w:pPr>
    <w:rPr>
      <w:rFonts w:cs="Times New Roman"/>
      <w:szCs w:val="20"/>
    </w:rPr>
  </w:style>
  <w:style w:type="paragraph" w:customStyle="1" w:styleId="62">
    <w:name w:val="_Style 59"/>
    <w:basedOn w:val="1"/>
    <w:next w:val="63"/>
    <w:qFormat/>
    <w:uiPriority w:val="34"/>
    <w:pPr>
      <w:ind w:firstLine="420" w:firstLineChars="200"/>
    </w:pPr>
    <w:rPr>
      <w:rFonts w:ascii="等线" w:hAnsi="等线" w:eastAsia="等线"/>
      <w:szCs w:val="22"/>
    </w:rPr>
  </w:style>
  <w:style w:type="paragraph" w:styleId="63">
    <w:name w:val="List Paragraph"/>
    <w:basedOn w:val="1"/>
    <w:qFormat/>
    <w:uiPriority w:val="34"/>
    <w:pPr>
      <w:ind w:firstLine="420" w:firstLineChars="200"/>
    </w:pPr>
  </w:style>
  <w:style w:type="character" w:customStyle="1" w:styleId="64">
    <w:name w:val="页眉 字符"/>
    <w:uiPriority w:val="0"/>
    <w:rPr>
      <w:kern w:val="2"/>
      <w:sz w:val="18"/>
      <w:szCs w:val="18"/>
    </w:rPr>
  </w:style>
  <w:style w:type="paragraph" w:customStyle="1" w:styleId="6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67">
    <w:name w:val="其他发布日期"/>
    <w:basedOn w:val="33"/>
    <w:uiPriority w:val="0"/>
    <w:pPr>
      <w:framePr w:w="3997" w:h="471" w:hRule="exact" w:hSpace="0" w:vSpace="181" w:wrap="around" w:vAnchor="page" w:hAnchor="page" w:x="1419" w:y="14097"/>
    </w:pPr>
    <w:rPr>
      <w:szCs w:val="20"/>
    </w:rPr>
  </w:style>
  <w:style w:type="paragraph" w:customStyle="1" w:styleId="68">
    <w:name w:val="其他实施日期"/>
    <w:basedOn w:val="38"/>
    <w:qFormat/>
    <w:uiPriority w:val="0"/>
    <w:pPr>
      <w:framePr w:w="3997" w:h="471" w:hRule="exact" w:vSpace="181" w:wrap="around" w:vAnchor="page" w:hAnchor="page" w:x="7089" w:y="14097"/>
    </w:pPr>
    <w:rPr>
      <w:szCs w:val="20"/>
    </w:rPr>
  </w:style>
  <w:style w:type="paragraph" w:customStyle="1" w:styleId="69">
    <w:name w:val="标准文件_段"/>
    <w:link w:val="7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0">
    <w:name w:val="标准文件_段 Char"/>
    <w:link w:val="69"/>
    <w:qFormat/>
    <w:uiPriority w:val="0"/>
    <w:rPr>
      <w:rFonts w:ascii="宋体"/>
      <w:sz w:val="21"/>
    </w:rPr>
  </w:style>
  <w:style w:type="character" w:customStyle="1" w:styleId="71">
    <w:name w:val="正文文本缩进 字符"/>
    <w:basedOn w:val="14"/>
    <w:link w:val="5"/>
    <w:semiHidden/>
    <w:uiPriority w:val="99"/>
    <w:rPr>
      <w:kern w:val="2"/>
      <w:sz w:val="21"/>
      <w:szCs w:val="21"/>
    </w:rPr>
  </w:style>
  <w:style w:type="character" w:customStyle="1" w:styleId="72">
    <w:name w:val="正文文本首行缩进 2 字符"/>
    <w:basedOn w:val="71"/>
    <w:link w:val="12"/>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www.xinken.net</Company>
  <Pages>10</Pages>
  <Words>4750</Words>
  <Characters>5393</Characters>
  <Lines>169</Lines>
  <Paragraphs>259</Paragraphs>
  <TotalTime>1</TotalTime>
  <ScaleCrop>false</ScaleCrop>
  <LinksUpToDate>false</LinksUpToDate>
  <CharactersWithSpaces>5442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2022-01-28T03:18:00Z</dcterms:created>
  <dc:creator>xpboy</dc:creator>
  <cp:lastModifiedBy>houyh</cp:lastModifiedBy>
  <cp:lastPrinted>2018-02-05T01:22:00Z</cp:lastPrinted>
  <dcterms:modified xsi:type="dcterms:W3CDTF">2025-10-20T06:58:58Z</dcterms:modified>
  <dc:title>农药抗性风险评价总则</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eyJoZGlkIjoiZTNhOWFiN2E2N2M3MmRmMmNmMmZlMzZhOGY5ODA1YWEiLCJ1c2VySWQiOiIxMTc1MjIzMjE5In0=</vt:lpwstr>
  </property>
  <property fmtid="{D5CDD505-2E9C-101B-9397-08002B2CF9AE}" pid="3" name="KSOProductBuildVer">
    <vt:lpwstr>2052-12.1.0.21171</vt:lpwstr>
  </property>
  <property fmtid="{D5CDD505-2E9C-101B-9397-08002B2CF9AE}" pid="4" name="ICV">
    <vt:lpwstr>2E611C528CD1453791C435C69824B3FF_12</vt:lpwstr>
  </property>
</Properties>
</file>